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entrait dans le sein [d’une mère]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ṛṣis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plongeait dans les désirs, se laissait aller sans retenue, entretenait des relations extraconjugales. Il tuait des êtres vivants en grande quantité.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