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r>
        <w:rPr>
          <w:rStyle w:val="Communicative"/>
        </w:rPr>
      </w:r>
    </w:p>
    <w:p>
      <w:pPr>
        <w:pStyle w:val="Com.paragraphtrans"/>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 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 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Com.paragraphtrans"/>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Com.paragraphtrans"/>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 «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raconta le Bienheureux,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 L’autre frère plongeait dans les désirs, se laissait aller sans retenue, entretenait des relations extraconjugales. Il tuait des êtres vivants en grande quantité.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Com.paragraphtrans"/>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