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ils consultèrent tous les médecins et appliquèrent tous les traitements prescrits, mais rien ne réussissait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pas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 »</w:t>
        <w:br/>
        <w:t>« Que sait-il donc ?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lui dit-il,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Avec la permission de ses parents, il rejoignit le Bienheureux, se prosterna en lui touchant les pieds de sa tête. En s’inclinant, il laissa retomber d’une épaule son vêtement supérieur qu’il avait replié et s’adressa au Bienheureux : « S’il est envisageable que je me retire du monde, que je prenne les vœux complets et que je devienne ainsi un moine selon le Dharma du Vinaya si bien enseigné, j’aimerais vivre une vie chaste auprès du Bienheureux. »</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Plus tard, elle tomba enceinte et</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Leur précepteur leur dit un jour : “Mes deux enfants, deux roues permettent de détenir l’enseignement du Bienheureux : la roue de la concentration et la roue de la récitation. Laquelle voulez-vous pratiquer ?”</w:t>
        <w:br/>
        <w:t>“Pour commencer, lui répondirent-ils, nous pratiquerons les récitations. Après, nous pratiqueront la concentration.”</w:t>
        <w:br/>
        <w:t>“Faites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peut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le souhait de toujours naître dans une famille qui vit dans l’opulence, possède de grandes richesses et d’innombrables biens. C’est pourquoi il est toujours né dans une famille aussi fortunée. Il formula aussi le souhait de contenter par ses actes le Bienheureux Bouddha que deviendrait le jeune brahmane Uttara, en accord avec la prophétie du complet et parfait bouddha Kāśyapa, de ne rien faire qui le mécontentera,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