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enseigna ce qui lui correspondait,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j’aimerais vivre une vie chaste auprès du Bienheureux comme d’autres avant moi.</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Otherparagraph"/>
      </w:pPr>
      <w:r>
        <w:rPr>
          <w:rStyle w:val="Tibetan"/>
        </w:rPr>
        <w:t>དེ་དགྲ་བཅོམ་པ་ཁམས་གསུམ་པའི་འདོད་ཆགས་དང་བྲལ་བར་གྱུར་ལ།</w:t>
      </w:r>
      <w:r>
        <w:br/>
      </w:r>
      <w:r>
        <w:rPr>
          <w:rStyle w:val="Semantic"/>
        </w:rPr>
        <w:t>il devint un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déplaise,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