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 xml:space="preserve">le garçon le vit au loin. </w:t>
      </w:r>
      <w:r>
        <w:rPr>
          <w:rStyle w:val="Communicative"/>
          <w:i/>
        </w:rPr>
        <w:t>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དེ་དགྲ་བཅོམ་པ་ཁམས་གསུམ་པའི་འདོད་ཆགས་དང་བྲལ་བར་གྱུར་ལ།</w:t>
      </w:r>
      <w:r>
        <w:br/>
      </w:r>
      <w:r>
        <w:rPr>
          <w:rStyle w:val="Semantic"/>
        </w:rPr>
        <w:t>il devint un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