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ils consultèrent tous les médecins et appliquèrent tous les traitements prescrits, mais rien ne réussissait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lui dit-il,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Avec la permission de ses parents, il rejoignit le Bienheureux, se prosterna en lui touchant les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Plus tard, elle tomba enceinte et</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pratiquerons les récitations. Après, nous pratiqueront la concentration.”</w:t>
        <w:br/>
        <w:t>“Faites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peut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le souhait de toujours naître dans une famille qui vit dans l’opulence, possède de grandes richesses et d’innombrables biens. C’est pourquoi il est toujours né dans une famille aussi fortunée. Il formula aussi le souhait de contenter par ses actes le Bienheureux Bouddha que deviendrait le jeune brahmane Uttara, en accord avec la prophétie du complet et parfait bouddha Kāśyapa, de ne rien faire qui le mécontentera,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