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Com.paragraphtrans"/>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w:t>
      </w:r>
    </w:p>
    <w:p>
      <w:pPr>
        <w:pStyle w:val="Com.paragraphtrans"/>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