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ses parents consultèrent tous les médecins et appliquèrent tous les traitements prescrits, mais rien ne parvint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fit-il dire, il est bientôt la mi-journée, l’heure du repas. Bienheureux, le moment est venu de venir chez nous. »</w:t>
      </w:r>
    </w:p>
    <w:p>
      <w:pPr>
        <w:pStyle w:val="Com.paragraphtrans"/>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w:t>
        <w:br/>
        <w:t>« S’il est envisageable que je me retire du monde, que je prenne les vœux complets et que je devienne ainsi un moine selon le Dharma du Vinaya si bien enseigné, j’aimerais vivre une vie chaste auprès du Bienheureux.</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 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 Environ neuf mois plus tard, elle donna naissance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Com.paragraphtrans"/>
      </w:pPr>
      <w:r>
        <w:rPr>
          <w:rStyle w:val="Communicative"/>
        </w:rPr>
        <w:t>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