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Maṇiprabha</w:t>
      </w:r>
    </w:p>
    <w:p>
      <w:pPr>
        <w:pStyle w:val="Com.paragraphtrans"/>
      </w:pPr>
      <w:r>
        <w:rPr>
          <w:rStyle w:val="Communicative"/>
        </w:rPr>
        <w:t>Voici une histoire que le Bienheureux conta lorsqu’il séjournait à Śrāvastī. À cette époque, vivait un jeune dieu nommé Maṇiprabha, Lumière de 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Com.paragraphtrans"/>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Com.paragraphtrans"/>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w:t>
        <w:br/>
        <w:t>« Seigneur, qui a la nuit passée, rendu visite au Bienheureux ? Brahmā le Seigneur de l’Univers ? Śakra le Roi des Dieux ? Ou peut-être les quatre Gardiens du monde ?</w:t>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br/>
        <w:t>— Vénérable, quelles actions de Maṇiprabha lui ont valu de naître parmi les dieux ? Quelles actions ont fait apparaître ce palais composé de tant de joyaux ? Quelles actions a-t-il réalisées pour vous contenter et ne rien faire qui vous déplaise ?</w:t>
        <w:br/>
        <w:t>— Moines, répondit le Bienheureux, Maṇiprabha a effectivement réalisé et accumulé des actions dans le passé.</w:t>
      </w:r>
    </w:p>
    <w:p>
      <w:pPr>
        <w:pStyle w:val="Com.paragraphtrans"/>
      </w:pPr>
      <w:r>
        <w:rPr>
          <w:rStyle w:val="Communicative"/>
        </w:rPr>
      </w:r>
      <w:r>
        <w:rPr>
          <w:rStyle w:val="Communicative"/>
          <w:i/>
        </w:rPr>
        <w:t xml:space="preserve">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 </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se procura des cheveux et des ongles du complet et parfait Bouddha Kāśyapa et construisit un stūpa pour les honorer. Il construisit aussi un monastère, s’assura qu’il n’y manquât pas le moindre détail et le pourvut des objets nécessaires à son fonctionnement. Il suspendit aussi un précieux joyau au parasol du stūpa, qui illumina comme en plein jour les alentours et le monastère. Il l’offrit au Bouddha Kāśyapa et à la saṅgha des moines et ainsi que tout le nécessaire à la vie monastique. Le restant de ses jours, il observa le vœu du refuge et certains autres vœux. Après sa mort, il renaquit chez les dieux. Son palais de joyaux divins se constitua au moment de sa naissance.</w:t>
      </w:r>
    </w:p>
    <w:p>
      <w:pPr>
        <w:pStyle w:val="Com.paragraphtrans"/>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ce monastère où rien ne manquait et le stūpa attenant. Il y avait suspendu un précieux joyau. C’est pourquoi il est né parmi les dieux. Moines, je suis devenu en tout point l’égal du complet et parfait Bouddha Kāśyapa. J’ai obtenu une force égale à la sienne, des moyens habiles et des actes égaux aux siens. C’est pourquoi il m’a contenté et n’a rien fait qui m’a déplu.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