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deuxième chariot</w:t>
      </w:r>
    </w:p>
    <w:p>
      <w:pPr>
        <w:pStyle w:val="Com.paragraphtrans"/>
      </w:pPr>
      <w:r>
        <w:rPr>
          <w:rStyle w:val="Communicative"/>
        </w:rPr>
        <w:t>Voici une histoire que le Bienheureux conta lorsqu’il séjournait à Śrāvastī. À cette époque, après avoir fait une offrande rituelle, un brahmane monta sur un chariot et entra dans la ville, suivi de son entourage et de ses serviteurs. Il ressentit de la joie à la vue du Bienheureux qui rentrait au monastère après avoir fait l’aumône.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 </w:t>
      </w:r>
      <w:r>
        <w:rPr>
          <w:rStyle w:val="Communicative"/>
        </w:rPr>
        <w:t xml:space="preserve"> </w:t>
      </w:r>
      <w:r>
        <w:rPr>
          <w:rStyle w:val="Communicative"/>
          <w:i/>
        </w:rPr>
        <w:t xml:space="preserve">«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jusqu’à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rPr>
      </w:r>
      <w:r>
        <w:rPr>
          <w:rStyle w:val="Communicative"/>
          <w:i/>
        </w:rPr>
        <w:t>Faites l’effort de vous retirer du monde ;</w:t>
        <w:br/>
        <w:t>Appliquez l’enseignement du Bouddha.</w:t>
        <w:br/>
        <w:t>Comme un éléphant dans une hutte d’argile,</w:t>
        <w:br/>
        <w:t xml:space="preserve">Détruisez les troupes du seigneur de la mort. </w:t>
      </w:r>
      <w:r>
        <w:rPr>
          <w:rStyle w:val="Communicative"/>
        </w:rPr>
      </w:r>
    </w:p>
    <w:p>
      <w:pPr>
        <w:pStyle w:val="Com.paragraphtrans"/>
      </w:pPr>
      <w:r>
        <w:rPr>
          <w:rStyle w:val="Communicative"/>
        </w:rP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rPr>
        <w:t xml:space="preserve">« </w:t>
      </w:r>
      <w:r>
        <w:rPr>
          <w:rStyle w:val="Communicative"/>
          <w:i/>
        </w:rPr>
        <w:t>De votre visage naissent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r>
    </w:p>
    <w:p>
      <w:pPr>
        <w:pStyle w:val="Com.paragraphtrans"/>
      </w:pPr>
      <w:r>
        <w:rPr>
          <w:rStyle w:val="Communicative"/>
        </w:rP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r>
    </w:p>
    <w:p>
      <w:pPr>
        <w:pStyle w:val="Com.paragraphtrans"/>
      </w:pPr>
      <w:r>
        <w:rPr>
          <w:rStyle w:val="Communicative"/>
        </w:rP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r>
    </w:p>
    <w:p>
      <w:pPr>
        <w:pStyle w:val="Com.paragraphtrans"/>
      </w:pPr>
      <w:r>
        <w:rPr>
          <w:rStyle w:val="Communicative"/>
        </w:rP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r>
    </w:p>
    <w:p>
      <w:pPr>
        <w:pStyle w:val="Com.paragraphtrans"/>
      </w:pPr>
      <w:r>
        <w:rPr>
          <w:rStyle w:val="Communicative"/>
        </w:rPr>
      </w:r>
      <w:r>
        <w:rPr>
          <w:rStyle w:val="Communicative"/>
          <w:i/>
        </w:rPr>
        <w:t>Votre verbe retentit, comme le cri du dragon,</w:t>
        <w:br/>
        <w:t>Votre regard est gracieux, comme les yeux d’une vache,</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ressenti de la joie envers le Tathāgata quand il l’a regardé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Joie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