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quatrième chariot</w:t>
      </w:r>
    </w:p>
    <w:p>
      <w:pPr>
        <w:pStyle w:val="Com.paragraphtrans"/>
      </w:pPr>
      <w:r>
        <w:rPr>
          <w:rStyle w:val="Communicative"/>
        </w:rPr>
        <w:t>Voici une histoire que le Bienheureux conta lorsqu’il séjournait à Śrāvastī. Le Bienheureux quittait la ville pour se rendre à Rājagṛha. Au même moment, un brahmane en chariot voyageait en direction opposée. Lorsqu’il croisa le Bienheureux, il mit pied à terre et lui offrit son chariot. Par compassion, le Bienheureux s’éleva dans l’espace et se tint dans les airs au dessus du chariot. Le brahmane fut empli d’une grande joie à l’égard du Bienheureux, puis il continua son chemin.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r>
    </w:p>
    <w:p>
      <w:pPr>
        <w:pStyle w:val="Com.paragraphtrans"/>
      </w:pPr>
      <w:r>
        <w:rPr>
          <w:rStyle w:val="Communicative"/>
        </w:rPr>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S’élancent de votre bouche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offert un chariot au Tathāgata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Qui-Offre-un-Chariot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