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Une deuxième histoire de fourmis</w:t>
      </w:r>
    </w:p>
    <w:p>
      <w:pPr>
        <w:pStyle w:val="Com.paragraphtrans"/>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 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Com.paragraphtrans"/>
      </w:pPr>
      <w:r>
        <w:rPr>
          <w:rStyle w:val="Communicative"/>
        </w:rPr>
        <w:t>Moines,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 Un jour, partie loin chercher à manger, elle fut repérée par un chasseur, qui l’attrapa, l’écorcha vive, la relâcha, puis repartit avec la peau. La loutre souffrait atrocement. Elle avança péniblement jusqu’à la rivière, et s’allongea dans un endroit frais. 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Com.paragraphtrans"/>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Com.paragraphtrans"/>
      </w:pPr>
      <w:r>
        <w:rPr>
          <w:rStyle w:val="Communicative"/>
        </w:rPr>
        <w:t>Voyant sa fin approcher, il fit le souhait de l’éveil insurpassable, complet et parfait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 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Com.paragraphtrans"/>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