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拆  分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DataShapley 项目 —— 数据流图（DFD）与 FLOPs 计算分析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内容摘自《工作日志.md》第 6、7 节  ·  生成日期：2026-08-13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color w:val="000000"/>
          <w:sz w:val="30"/>
        </w:rPr>
        <w:t>6  数据流图（DFD）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数据流图（Data Flow Diagram）从数据传递与加工的角度描述系统逻辑模型。本项目（DataShapley，基于 Shapley 值的数据价值评估）的外部实体为调用者（用户/示例程序），内部加工包括数据预处理、基线得分计算、LOO/TMC/G 三种价值估计算法以及结果合并保存，数据存储为各类 pkl 文件。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图中按 PAD（Problem Analysis Diagram，问题分析图）标准绘制：最左侧一条主干竖线贯穿全图，各加工框（框内标注具体函数名、完整参数与作用）从主干向右引出、自上而下依次排列。每个框上方为其输入数据流（列出全部参数、维数及其来历），下方为其输出数据流（列出数据、维数及其去向），如 X:(n×d)、mem_tmc:(k×n)、tolerance【4.1】。每个加工框只通过输入/输出数据与其他框及外部交换，可作为独立黑盒自由拆卸、替换。维数约定：n=训练样本数；m=测试样本数；h=留出样本数；n_src=数据源个数；k=已迭代轮数；d=特征维数；|src_i|=第 i 个源包含的点数。</w:t>
      </w:r>
    </w:p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6.1  顶层图（上下文图）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顶层图给出系统与外部实体（用户/调用者）之间的数据流边界：唯一的加工框为 DShap.run（总控黑盒），输入 X:(n×d)、y:(n,)、X_test:(m×d)、y_test:(m,)、num_test、sources:dict 与save_every/err/tolerance/g_run/loo_run/模型族/指标/目录等参数，输出每个数据点的三套价值vals_loo/vals_tmc/vals_g:(n,)，以及结果文件 *.pkl 与图表 *.png。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31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 6-1  顶层图（上下文图）</w:t>
      </w:r>
    </w:p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6.2  0 层图（系统内部分解）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0 层图把 DShap.run 总控黑盒按 PAD 顺序结构拆分为 6 个加工框（框内为函数名+完整参数+作用）：1=DShap.__init__ 数据预处理与初始化；2=init_score(metric) 基线得分计算；3=_calculate_loo_vals LOO 留一计算；4=_tmc_shap TMC-Shapley 计算；5=_g_shap G-Shapley 计算；6=merge_results/save_results/performance_plots 结果合并、保存与绘图。各框从主干竖线向右引出、自上而下依次执行；每框上方为输入数据流（全部参数+维数+来历）、下方为输出数据流（数据+维数+去向），框间仅通过带参数标注的数据交换。外部实体为调用者（用户/示例程序）；D1~D4 为数据存储（pkl 文件/目录），画在最右侧接收各框输出；输入数据 D1→3/4/5 的读取关系在各框输入标签中标注。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718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1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 6-2  0 层图（系统内部分解）</w:t>
      </w:r>
    </w:p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6.3  1 层图（过程 4：TMC-Shapley 计算细化）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 层图对 0 层图中的过程 4（_tmc_shap TMC-Shapley 计算黑盒）进一步细化：4.1=_tol_mean_score() 计算平均得分与容差；4.2=one_iteration(tolerance, sources) 单次 TMC 迭代（随机排列源→逐源增量训练评估→截断容差判断），输出 marginal_contribs:(n,) 与 idxs:(n_src,)；4.3 累积 mem_tmc:(k×n)；4.4 由 error(mem_tmc) &lt; err 判定收敛；4.5 输出均值价值 vals_tmc:(n,)；未收敛则返回 4.2 继续迭代。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172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7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图 6-3  1 层图（过程 4：TMC-Shapley 计算细化）</w:t>
      </w:r>
    </w:p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6.4  数据字典（部分）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以下给出图 6-1 ~ 图 6-3 中主要数据流与数据存储的定义。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1644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名称</w:t>
            </w:r>
          </w:p>
        </w:tc>
        <w:tc>
          <w:tcPr>
            <w:tcW w:type="dxa" w:w="1020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01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源 → 终点</w:t>
            </w:r>
          </w:p>
        </w:tc>
        <w:tc>
          <w:tcPr>
            <w:tcW w:type="dxa" w:w="3969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(1)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输入数据与参数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 → 1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X:(n×d)；y:(n,)；X_test:(m×d)；y_test:(m,)；num_test:int；sources:dict；模型族/指标/目录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(2)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划分后数据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→ D1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X_train:(n×d)；X_test:(num_test×d)；X_heldout:(h×d)，落盘 data.pkl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(3)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数据与测试集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→ 2 → 3/4/5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X:(n×d)、y:(n,)、X_test:(m×d)、y_test:(m,)，内存传递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(4)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随机基线得分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 → 3/4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random_score:float（未训练模型/众数基线）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(5)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读取数据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D1 → 3/4/5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断点续算时加载已保存数据（图中未画出）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(6)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TMC 边际贡献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 → D2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mem_tmc:(k×n)；idxs_tmc:(k×n_src)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(7)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LOO 值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 → D4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vals_loo:(n,)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(8)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 边际贡献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 → D3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mem_g:(k×n)；idxs_g:(k×n_src)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(9)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价值结果汇总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D2/D3/D4 → 6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vals_loo/vals_tmc/vals_g:(n,)，加权合并并行结果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(10)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数据点价值与图表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数据流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 → 用户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Shapley 值:(n,)；pkl 结果文件；PNG 图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D1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数据集文件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数据存储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data.pkl：X:(n×d)、y:(n,)、X_test:(num_test×d)、X_heldout:(h×d)、sources:dict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D2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TMC 结果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数据存储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mem_tmc_XXXX.pkl：边际贡献矩阵 mem_tmc:(k×n) 与采样顺序 idxs_tmc:(k×n_src)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D3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 结果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数据存储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mem_g_XXXX.pkl：同上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D4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LOO 结果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数据存储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loo.pkl：vals_loo:(n,)</w:t>
            </w:r>
          </w:p>
        </w:tc>
      </w:tr>
      <w:tr>
        <w:tc>
          <w:tcPr>
            <w:tcW w:type="dxa" w:w="73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D5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图表目录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数据存储</w:t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plots/*.png：性能移除图、收敛图</w:t>
            </w:r>
          </w:p>
        </w:tc>
      </w:tr>
    </w:tbl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color w:val="000000"/>
          <w:sz w:val="30"/>
        </w:rPr>
        <w:t>7  FLOPs 计算分析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本节统计各模型单次前向的参数量与浮点运算量（FLOPs），并估算 LOO / TMC-Shapley / G-Shapley 三种算法在典型规模下的总计算开销。</w:t>
      </w:r>
    </w:p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7.1  计算口径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与仓库内《C3D-I3D-LSTM网络结构与参数量-FLOPs.xlsx》（thop / pytorch-OpCounter 风格）保持一致：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全连接层：参数量 = out×in + out；FLOPs = out×(2×in − 1)（单样本）；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卷积层：参数量 = out×(in×k²) + out；FLOPs = out×W×H×(2×in×k² + 1)（单样本）；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激活函数（每元素）：relu = 1、sigmoid = 3、tanh = 7、BN = 4、softmax = 3×类别数 − 1；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汇总表 FLOPs = 批处理大小 × 单样本前向 FLOPs。</w:t>
      </w:r>
    </w:p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7.2  各模型单次前向参数量与 FLOPs（输入 d=100，二分类）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4819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模型</w:t>
            </w:r>
          </w:p>
        </w:tc>
        <w:tc>
          <w:tcPr>
            <w:tcW w:type="dxa" w:w="1247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批处理大小</w:t>
            </w:r>
          </w:p>
        </w:tc>
        <w:tc>
          <w:tcPr>
            <w:tcW w:type="dxa" w:w="1474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参数量</w:t>
            </w:r>
          </w:p>
        </w:tc>
        <w:tc>
          <w:tcPr>
            <w:tcW w:type="dxa" w:w="1928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FLOPs（单批前向）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logistic（LogisticRegression，100→2 类）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2.02×10²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1.03×10⁵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NN（MLPClassifier，100→20→2，默认隐藏层 (20,)）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2.06×10³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1.05×10⁶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ShapNN（G-Shapley，100→2，代码中 batch_size=1）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2.02×10²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4.03×10²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ShapNN（G-Shapley，100→20→2）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2.06×10³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4.08×10³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conv（CShapNN，5×5 卷积 stride=5 → 20 → 2）</w:t>
            </w:r>
          </w:p>
        </w:tc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8.09×10³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9.44×10⁶</w:t>
            </w:r>
          </w:p>
        </w:tc>
      </w:tr>
    </w:tbl>
    <w:p>
      <w:pPr>
        <w:spacing w:after="80" w:line="312" w:lineRule="auto"/>
        <w:ind w:firstLine="360"/>
      </w:pPr>
      <w:r>
        <w:rPr>
          <w:rFonts w:ascii="Times New Roman" w:hAnsi="Times New Roman" w:eastAsia="宋体"/>
          <w:b w:val="0"/>
          <w:sz w:val="18"/>
        </w:rPr>
        <w:t>注：树 / 随机森林 / KNN / SVM / 朴素贝叶斯等无学习权重（参数量 = 0），FLOPs 为比较/距离运算，不适用卷积/FC 口径，未列入。</w:t>
      </w:r>
    </w:p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7.3  三种算法总开销估算（n=1000，d=100，logistic）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估算假设：liblinear 平均迭代 n_iter=20；TMC 迭代 100 次、截断后平均使用前 60% 数据；G 迭代 100 轮；测试集 |X_test|=1000；单次 fit（规模 k）≈ n_iter×2×k×d。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算法</w:t>
            </w:r>
          </w:p>
        </w:tc>
        <w:tc>
          <w:tcPr>
            <w:tcW w:type="dxa" w:w="5443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计算构成</w:t>
            </w:r>
          </w:p>
        </w:tc>
        <w:tc>
          <w:tcPr>
            <w:tcW w:type="dxa" w:w="1474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FLOPs</w:t>
            </w:r>
          </w:p>
        </w:tc>
        <w:tc>
          <w:tcPr>
            <w:tcW w:type="dxa" w:w="907"/>
            <w:shd w:val="clear" w:fill="D9D9D9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占比</w:t>
            </w:r>
          </w:p>
        </w:tc>
      </w:tr>
      <w:tr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LOO</w:t>
            </w:r>
          </w:p>
        </w:tc>
        <w:tc>
          <w:tcPr>
            <w:tcW w:type="dxa" w:w="5443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(n+1) 次全量训练（≈4×10⁶/次）+(n+1) 次测试评估（≈4×10⁵/次）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≈ 4.4×10⁹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3%</w:t>
            </w:r>
          </w:p>
        </w:tc>
      </w:tr>
      <w:tr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TMC</w:t>
            </w:r>
          </w:p>
        </w:tc>
        <w:tc>
          <w:tcPr>
            <w:tcW w:type="dxa" w:w="5443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次迭代 ×（Σ_{k=1..600} 4000k + 600 次测试评估×4×10⁵ ≈ 9.6×10⁸/次）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≈ 9.6×10¹⁰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68%</w:t>
            </w:r>
          </w:p>
        </w:tc>
      </w:tr>
      <w:tr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G-Shapley</w:t>
            </w:r>
          </w:p>
        </w:tc>
        <w:tc>
          <w:tcPr>
            <w:tcW w:type="dxa" w:w="5443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学习率搜索 160 次小训练（≈2×10⁸）+ 100 轮 ShapNN fit（每轮 n 步：1 样本训练 + 全测试集评估，≈4×10⁸/轮）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≈ 4.1×10¹⁰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29%</w:t>
            </w:r>
          </w:p>
        </w:tc>
      </w:tr>
      <w:tr>
        <w:tc>
          <w:tcPr>
            <w:tcW w:type="dxa" w:w="124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总计</w:t>
            </w:r>
          </w:p>
        </w:tc>
        <w:tc>
          <w:tcPr>
            <w:tcW w:type="dxa" w:w="5443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≈ 1.41×10¹¹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</w:tbl>
    <w:p>
      <w:pPr>
        <w:pStyle w:val="Heading2"/>
        <w:spacing w:before="120" w:after="120"/>
      </w:pPr>
      <w:r>
        <w:rPr>
          <w:rFonts w:ascii="Times New Roman" w:hAnsi="Times New Roman" w:eastAsia="黑体"/>
          <w:b/>
          <w:color w:val="000000"/>
          <w:sz w:val="26"/>
        </w:rPr>
        <w:t>7.4  结论与注意事项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1. 单次前向远小于 C3D/I3D 等视频模型（小约 5 个数量级），项目总成本集中在训练次数（每次 fit 从头训练、随规模 O(n²) 累加），而非单次前向；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2. 本实现中 G-Shapley 与 TMC 同量级：batch_size=1 导致 n 步训练，且每步都对整个测试集评估一次，抵消了论文中 G 的加速优势；</w:t>
      </w:r>
    </w:p>
    <w:p>
      <w:pPr>
        <w:spacing w:after="80" w:line="31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3. 以上为估算值，精确值需插桩统计实际训练次数（TMC 截断、G 收敛均会提前终止）。</w:t>
      </w:r>
    </w:p>
    <w:p>
      <w:pPr>
        <w:spacing w:after="0" w:line="312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200"/>
        <w:jc w:val="right"/>
      </w:pPr>
      <w:r>
        <w:rPr>
          <w:rFonts w:ascii="Times New Roman" w:hAnsi="Times New Roman" w:eastAsia="宋体"/>
          <w:b w:val="0"/>
          <w:color w:val="595959"/>
          <w:sz w:val="18"/>
        </w:rPr>
        <w:t>—— 文档生成完毕：DataShapley 项目拆分（DFD 与 FLOPs 分析）——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