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5655152"/>
        <w:docPartObj>
          <w:docPartGallery w:val="Table of Contents"/>
          <w:docPartUnique/>
        </w:docPartObj>
      </w:sdtPr>
      <w:sdtEndPr/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4101AF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23062" w:history="1">
            <w:r w:rsidR="004101AF" w:rsidRPr="0089061C">
              <w:rPr>
                <w:rStyle w:val="Lienhypertexte"/>
                <w:noProof/>
              </w:rPr>
              <w:t>1.</w:t>
            </w:r>
            <w:r w:rsidR="004101AF">
              <w:rPr>
                <w:rFonts w:eastAsiaTheme="minorEastAsia"/>
                <w:noProof/>
                <w:lang w:eastAsia="fr-FR"/>
              </w:rPr>
              <w:tab/>
            </w:r>
            <w:r w:rsidR="004101AF" w:rsidRPr="0089061C">
              <w:rPr>
                <w:rStyle w:val="Lienhypertexte"/>
                <w:noProof/>
              </w:rPr>
              <w:t>Informations techniques</w:t>
            </w:r>
            <w:r w:rsidR="004101AF">
              <w:rPr>
                <w:noProof/>
                <w:webHidden/>
              </w:rPr>
              <w:tab/>
            </w:r>
            <w:r w:rsidR="004101AF">
              <w:rPr>
                <w:noProof/>
                <w:webHidden/>
              </w:rPr>
              <w:fldChar w:fldCharType="begin"/>
            </w:r>
            <w:r w:rsidR="004101AF">
              <w:rPr>
                <w:noProof/>
                <w:webHidden/>
              </w:rPr>
              <w:instrText xml:space="preserve"> PAGEREF _Toc388023062 \h </w:instrText>
            </w:r>
            <w:r w:rsidR="004101AF">
              <w:rPr>
                <w:noProof/>
                <w:webHidden/>
              </w:rPr>
            </w:r>
            <w:r w:rsidR="004101AF">
              <w:rPr>
                <w:noProof/>
                <w:webHidden/>
              </w:rPr>
              <w:fldChar w:fldCharType="separate"/>
            </w:r>
            <w:r w:rsidR="004101AF">
              <w:rPr>
                <w:noProof/>
                <w:webHidden/>
              </w:rPr>
              <w:t>2</w:t>
            </w:r>
            <w:r w:rsidR="004101AF"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3" w:history="1">
            <w:r w:rsidRPr="0089061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Diagramme des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4" w:history="1">
            <w:r w:rsidRPr="0089061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5" w:history="1">
            <w:r w:rsidRPr="0089061C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6" w:history="1">
            <w:r w:rsidRPr="0089061C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7" w:history="1">
            <w:r w:rsidRPr="0089061C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8" w:history="1">
            <w:r w:rsidRPr="0089061C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9" w:history="1">
            <w:r w:rsidRPr="0089061C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0" w:history="1">
            <w:r w:rsidRPr="0089061C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1" w:history="1">
            <w:r w:rsidRPr="0089061C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2" w:history="1">
            <w:r w:rsidRPr="0089061C">
              <w:rPr>
                <w:rStyle w:val="Lienhypertexte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3" w:history="1">
            <w:r w:rsidRPr="0089061C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4" w:history="1">
            <w:r w:rsidRPr="0089061C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5" w:history="1">
            <w:r w:rsidRPr="0089061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6" w:history="1">
            <w:r w:rsidRPr="0089061C">
              <w:rPr>
                <w:rStyle w:val="Lienhypertexte"/>
                <w:noProof/>
              </w:rPr>
              <w:t>4.1 Annexe 1 (config.properties)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7" w:history="1">
            <w:r w:rsidRPr="0089061C">
              <w:rPr>
                <w:rStyle w:val="Lienhypertexte"/>
                <w:noProof/>
              </w:rPr>
              <w:t>4.2 Annexe 2 (configUrlServices.properties)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8" w:history="1">
            <w:r w:rsidRPr="0089061C">
              <w:rPr>
                <w:rStyle w:val="Lienhypertexte"/>
                <w:noProof/>
                <w:lang w:val="en-US"/>
              </w:rPr>
              <w:t>4.3 Annexe 3 (log4j.properties)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9" w:history="1">
            <w:r w:rsidRPr="0089061C">
              <w:rPr>
                <w:rStyle w:val="Lienhypertexte"/>
                <w:noProof/>
              </w:rPr>
              <w:t>4.4 Annexe 4 – extrait du defaults.properties du module départ et gestionnaire (particularité de certain 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80" w:history="1">
            <w:r w:rsidRPr="0089061C">
              <w:rPr>
                <w:rStyle w:val="Lienhypertexte"/>
                <w:noProof/>
              </w:rPr>
              <w:t>4.5 Annexe 5 – extrait du defaults.properties du module accueil (particularité de certain 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8023062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8023063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8023064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8023065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A35517" w:rsidRDefault="00A35517" w:rsidP="00A35517">
      <w:pPr>
        <w:pStyle w:val="Paragraphedeliste"/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 w:rsidRPr="00A35517">
        <w:rPr>
          <w:lang w:val="en-US"/>
        </w:rPr>
        <w:t>esup</w:t>
      </w:r>
      <w:proofErr w:type="spellEnd"/>
      <w:r w:rsidRPr="00A35517">
        <w:rPr>
          <w:lang w:val="en-US"/>
        </w:rPr>
        <w:t>-</w:t>
      </w:r>
      <w:proofErr w:type="spellStart"/>
      <w:r w:rsidRPr="00A35517">
        <w:rPr>
          <w:lang w:val="en-US"/>
        </w:rPr>
        <w:t>transferts</w:t>
      </w:r>
      <w:proofErr w:type="spellEnd"/>
      <w:r w:rsidRPr="00A35517">
        <w:rPr>
          <w:lang w:val="en-US"/>
        </w:rPr>
        <w:t>-web-</w:t>
      </w:r>
      <w:proofErr w:type="spellStart"/>
      <w:r w:rsidRPr="00A35517">
        <w:rPr>
          <w:lang w:val="en-US"/>
        </w:rPr>
        <w:t>jsf</w:t>
      </w:r>
      <w:proofErr w:type="spellEnd"/>
      <w:r w:rsidRPr="00A35517">
        <w:rPr>
          <w:lang w:val="en-US"/>
        </w:rPr>
        <w:t>-servlet/</w:t>
      </w:r>
      <w:proofErr w:type="spellStart"/>
      <w:r w:rsidRPr="00A35517">
        <w:rPr>
          <w:lang w:val="en-US"/>
        </w:rPr>
        <w:t>src</w:t>
      </w:r>
      <w:proofErr w:type="spellEnd"/>
      <w:r w:rsidRPr="00A35517">
        <w:rPr>
          <w:lang w:val="en-US"/>
        </w:rPr>
        <w:t>/main/</w:t>
      </w:r>
      <w:proofErr w:type="spellStart"/>
      <w:r w:rsidRPr="00A35517">
        <w:rPr>
          <w:lang w:val="en-US"/>
        </w:rPr>
        <w:t>webapp</w:t>
      </w:r>
      <w:proofErr w:type="spellEnd"/>
      <w:r w:rsidRPr="00A35517">
        <w:rPr>
          <w:lang w:val="en-US"/>
        </w:rPr>
        <w:t>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A35517">
        <w:rPr>
          <w:lang w:val="en-US"/>
        </w:rPr>
        <w:t>esup-transferts-accueil-web-jsf-servlet/src/main/webapp/WEB-INF/lib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Pr="00A35517" w:rsidRDefault="004101AF" w:rsidP="00A35517">
      <w:pPr>
        <w:pStyle w:val="Paragraphedeliste"/>
        <w:rPr>
          <w:lang w:val="en-US"/>
        </w:rPr>
      </w:pPr>
    </w:p>
    <w:p w:rsidR="00D209F3" w:rsidRPr="00A35517" w:rsidRDefault="00D209F3" w:rsidP="00D209F3">
      <w:pPr>
        <w:pStyle w:val="Paragraphedeliste"/>
        <w:rPr>
          <w:lang w:val="en-US"/>
        </w:rPr>
      </w:pP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8023066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8023067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8023068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8023069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  <w:proofErr w:type="spellStart"/>
      <w:proofErr w:type="gramStart"/>
      <w:r w:rsidRPr="00D209F3">
        <w:rPr>
          <w:lang w:val="en-US"/>
        </w:rPr>
        <w:t>Exemple</w:t>
      </w:r>
      <w:proofErr w:type="spellEnd"/>
      <w:r w:rsidRPr="00D209F3">
        <w:rPr>
          <w:lang w:val="en-US"/>
        </w:rPr>
        <w:t> :</w:t>
      </w:r>
      <w:proofErr w:type="gramEnd"/>
      <w:r w:rsidRPr="00D209F3">
        <w:rPr>
          <w:lang w:val="en-US"/>
        </w:rPr>
        <w:t xml:space="preserve">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Pr="000019AA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8023070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8023071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8023072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8023073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8023074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4101AF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4101AF" w:rsidRPr="009641AB" w:rsidRDefault="004101AF" w:rsidP="004101AF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4101AF">
        <w:rPr>
          <w:rFonts w:cstheme="minorHAnsi"/>
          <w:sz w:val="24"/>
        </w:rPr>
        <w:t>TRANSFERT_MAIL_BODY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8023075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8023076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6"/>
    </w:p>
    <w:p w:rsidR="00DD1707" w:rsidRDefault="00DD1707" w:rsidP="00DD1707">
      <w:pPr>
        <w:pStyle w:val="Paragraphedeliste"/>
        <w:ind w:left="360"/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#Activation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bien prise en compte l'application ne doit pas apparaitre en pleine écran 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xmlxslpath=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jpa.database.type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ORACLE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SMTP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Voir la documentation à cette adresse : https://www.esup-portail.org/pages/viewpage.action?pageId=100663528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exceptionHandling.email=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LDAP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ldap.url=</w:t>
      </w:r>
      <w:r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ldap.dnSubPath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ou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=people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4101AF" w:rsidP="004101AF">
      <w:proofErr w:type="spellStart"/>
      <w:r w:rsidRPr="004101AF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</w:rPr>
        <w:t>1000000</w:t>
      </w:r>
      <w:r w:rsidR="00DD1707">
        <w:tab/>
      </w:r>
      <w:r w:rsidR="00DD1707"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8023077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7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8023078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Default="00DD1707" w:rsidP="00DD1707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4101AF" w:rsidRDefault="004101AF" w:rsidP="004101AF">
      <w:pPr>
        <w:pStyle w:val="Titre3"/>
        <w:ind w:firstLine="708"/>
      </w:pPr>
      <w:bookmarkStart w:id="19" w:name="_Toc388023079"/>
      <w:r>
        <w:t xml:space="preserve">4.4 Annexe 4 – extrait du </w:t>
      </w:r>
      <w:proofErr w:type="spellStart"/>
      <w:r>
        <w:t>defaults.properties</w:t>
      </w:r>
      <w:proofErr w:type="spellEnd"/>
      <w:r>
        <w:t xml:space="preserve"> du module </w:t>
      </w:r>
      <w:r>
        <w:t>départ et gestionnaire</w:t>
      </w:r>
      <w:r>
        <w:t xml:space="preserve"> (particularité de certain établissement)</w:t>
      </w:r>
      <w:bookmarkEnd w:id="19"/>
    </w:p>
    <w:p w:rsidR="004101AF" w:rsidRPr="004101AF" w:rsidRDefault="004101AF" w:rsidP="004101AF"/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Règle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TE02 d'APOGEE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d'années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l'inscription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précédente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Réins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TE02=1 </w:t>
      </w:r>
    </w:p>
    <w:p w:rsidR="004101AF" w:rsidRPr="00D209F3" w:rsidRDefault="004101AF" w:rsidP="004101AF">
      <w:r>
        <w:rPr>
          <w:rFonts w:ascii="Consolas" w:hAnsi="Consolas" w:cs="Consolas"/>
          <w:color w:val="000000"/>
          <w:sz w:val="20"/>
          <w:szCs w:val="20"/>
        </w:rPr>
        <w:t>regle.gestion.TE02=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D209F3" w:rsidRDefault="00D209F3" w:rsidP="00D209F3">
      <w:pPr>
        <w:pStyle w:val="Titre3"/>
        <w:ind w:firstLine="708"/>
      </w:pPr>
      <w:bookmarkStart w:id="20" w:name="_Toc388023080"/>
      <w:r>
        <w:t>4.</w:t>
      </w:r>
      <w:r w:rsidR="004101AF">
        <w:t>5</w:t>
      </w:r>
      <w:r>
        <w:t xml:space="preserve"> Annexe </w:t>
      </w:r>
      <w:r w:rsidR="004101AF">
        <w:t>5</w:t>
      </w:r>
      <w:r>
        <w:t xml:space="preserve"> – extrait du </w:t>
      </w:r>
      <w:proofErr w:type="spellStart"/>
      <w:r>
        <w:t>defaults.properties</w:t>
      </w:r>
      <w:proofErr w:type="spellEnd"/>
      <w:r>
        <w:t xml:space="preserve"> du module accueil (particularité de certain établissement)</w:t>
      </w:r>
      <w:bookmarkEnd w:id="20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=false ==&gt;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l'edition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document PDF par l'étudiant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saisie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décision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définitive</w:t>
      </w:r>
    </w:p>
    <w:p w:rsidR="00DD1707" w:rsidRPr="00D209F3" w:rsidRDefault="004101AF" w:rsidP="004101A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false</w:t>
      </w:r>
    </w:p>
    <w:sectPr w:rsidR="00DD1707" w:rsidRPr="00D209F3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063" w:rsidRDefault="00C55063" w:rsidP="0000433C">
      <w:pPr>
        <w:spacing w:after="0" w:line="240" w:lineRule="auto"/>
      </w:pPr>
      <w:r>
        <w:separator/>
      </w:r>
    </w:p>
  </w:endnote>
  <w:endnote w:type="continuationSeparator" w:id="0">
    <w:p w:rsidR="00C55063" w:rsidRDefault="00C55063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101AF" w:rsidRPr="004101AF"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101AF" w:rsidRPr="004101AF">
                          <w:rPr>
                            <w:noProof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063" w:rsidRDefault="00C55063" w:rsidP="0000433C">
      <w:pPr>
        <w:spacing w:after="0" w:line="240" w:lineRule="auto"/>
      </w:pPr>
      <w:r>
        <w:separator/>
      </w:r>
    </w:p>
  </w:footnote>
  <w:footnote w:type="continuationSeparator" w:id="0">
    <w:p w:rsidR="00C55063" w:rsidRDefault="00C55063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4517"/>
    <w:rsid w:val="0039747B"/>
    <w:rsid w:val="003A173D"/>
    <w:rsid w:val="003C2C4A"/>
    <w:rsid w:val="003D3235"/>
    <w:rsid w:val="003E6B75"/>
    <w:rsid w:val="004101AF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D384E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35517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063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209F3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F21F-B6BD-483A-B42A-F1EE1EA1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1</Pages>
  <Words>3782</Words>
  <Characters>20803</Characters>
  <Application>Microsoft Office Word</Application>
  <DocSecurity>0</DocSecurity>
  <Lines>173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33</cp:revision>
  <cp:lastPrinted>2013-01-23T12:41:00Z</cp:lastPrinted>
  <dcterms:created xsi:type="dcterms:W3CDTF">2014-04-24T12:59:00Z</dcterms:created>
  <dcterms:modified xsi:type="dcterms:W3CDTF">2014-05-16T11:40:00Z</dcterms:modified>
</cp:coreProperties>
</file>