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Eswara Raj M</w:t>
      </w:r>
    </w:p>
    <w:p>
      <w:r>
        <w:t>CB.SC.U4CSE23022</w:t>
      </w:r>
    </w:p>
    <w:p>
      <w:pPr>
        <w:pStyle w:val="Title"/>
      </w:pPr>
      <w:r>
        <w:t>Gopher AI Ablation and Sensitivity Report</w:t>
      </w:r>
    </w:p>
    <w:p>
      <w:pPr>
        <w:pStyle w:val="Subtitle"/>
      </w:pPr>
      <w:r>
        <w:t>Gopher AI road damage detection project</w:t>
      </w:r>
    </w:p>
    <w:p>
      <w:r>
        <w:t>Evaluation date 15 October 2026</w:t>
      </w:r>
    </w:p>
    <w:p>
      <w:r>
        <w:t>This report separates completed input and threshold sensitivity experiments from structural model ablations. The completed experiments kept gopher-ai_v1.pt fixed. No network module was removed and retrained, so the results do not quantify the contribution of individual YOLO11n components.</w:t>
      </w:r>
    </w:p>
    <w:p>
      <w:pPr>
        <w:pStyle w:val="Heading1"/>
      </w:pPr>
      <w:r>
        <w:t>Experimental design</w:t>
      </w:r>
    </w:p>
    <w:p>
      <w:r>
        <w:t>A uniform random sample of 300 test images was chosen without replacement using seed 23022. The same 481 annotated objects and images were reused across conditions. Country counts were Czech Republic 19, India 60, Japan 94, Norway 83 and United States 44. Each source image was resized to a 512-pixel longest side before transformation, followed by square letterboxing.</w:t>
      </w:r>
    </w:p>
    <w:p>
      <w:r>
        <w:t>Inference used FP32, image size 512, single-label prediction NMS at IoU 0.70, maximum 300 detections, and a score floor of 0.001. Reported detection results retained scores at least 0.25 and used one-to-one same-class matches at IoU 0.50. Labels were unchanged except that horizontal-flip box centres were mirrored.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512"/>
        <w:gridCol w:w="1512"/>
        <w:gridCol w:w="1512"/>
        <w:gridCol w:w="1512"/>
      </w:tblGrid>
      <w:tr>
        <w:trPr>
          <w:tblHeader/>
          <w:cantSplit/>
        </w:trPr>
        <w:tc>
          <w:tcPr>
            <w:tcW w:type="dxa" w:w="3600"/>
            <w:vAlign w:val="center"/>
            <w:tcMar>
              <w:top w:w="85" w:type="dxa"/>
              <w:bottom w:w="85" w:type="dxa"/>
              <w:left w:w="100" w:type="dxa"/>
              <w:right w:w="100" w:type="dxa"/>
            </w:tcMar>
            <w:shd w:fill="20374B"/>
          </w:tcPr>
          <w:p>
            <w:pPr>
              <w:spacing w:after="0" w:line="252" w:lineRule="auto"/>
              <w:jc w:val="left"/>
            </w:pPr>
            <w:r>
              <w:rPr>
                <w:b/>
                <w:color w:val="FFFFFF"/>
                <w:sz w:val="18"/>
              </w:rPr>
              <w:t>Condition</w:t>
            </w:r>
          </w:p>
        </w:tc>
        <w:tc>
          <w:tcPr>
            <w:tcW w:type="dxa" w:w="1512"/>
            <w:vAlign w:val="center"/>
            <w:tcMar>
              <w:top w:w="85" w:type="dxa"/>
              <w:bottom w:w="85" w:type="dxa"/>
              <w:left w:w="100" w:type="dxa"/>
              <w:right w:w="100" w:type="dxa"/>
            </w:tcMar>
            <w:shd w:fill="20374B"/>
          </w:tcPr>
          <w:p>
            <w:pPr>
              <w:spacing w:after="0" w:line="252" w:lineRule="auto"/>
              <w:jc w:val="center"/>
            </w:pPr>
            <w:r>
              <w:rPr>
                <w:b/>
                <w:color w:val="FFFFFF"/>
                <w:sz w:val="18"/>
              </w:rPr>
              <w:t>Precision</w:t>
            </w:r>
          </w:p>
        </w:tc>
        <w:tc>
          <w:tcPr>
            <w:tcW w:type="dxa" w:w="1512"/>
            <w:vAlign w:val="center"/>
            <w:tcMar>
              <w:top w:w="85" w:type="dxa"/>
              <w:bottom w:w="85" w:type="dxa"/>
              <w:left w:w="100" w:type="dxa"/>
              <w:right w:w="100" w:type="dxa"/>
            </w:tcMar>
            <w:shd w:fill="20374B"/>
          </w:tcPr>
          <w:p>
            <w:pPr>
              <w:spacing w:after="0" w:line="252" w:lineRule="auto"/>
              <w:jc w:val="center"/>
            </w:pPr>
            <w:r>
              <w:rPr>
                <w:b/>
                <w:color w:val="FFFFFF"/>
                <w:sz w:val="18"/>
              </w:rPr>
              <w:t>Recall</w:t>
            </w:r>
          </w:p>
        </w:tc>
        <w:tc>
          <w:tcPr>
            <w:tcW w:type="dxa" w:w="1512"/>
            <w:vAlign w:val="center"/>
            <w:tcMar>
              <w:top w:w="85" w:type="dxa"/>
              <w:bottom w:w="85" w:type="dxa"/>
              <w:left w:w="100" w:type="dxa"/>
              <w:right w:w="100" w:type="dxa"/>
            </w:tcMar>
            <w:shd w:fill="20374B"/>
          </w:tcPr>
          <w:p>
            <w:pPr>
              <w:spacing w:after="0" w:line="252" w:lineRule="auto"/>
              <w:jc w:val="center"/>
            </w:pPr>
            <w:r>
              <w:rPr>
                <w:b/>
                <w:color w:val="FFFFFF"/>
                <w:sz w:val="18"/>
              </w:rPr>
              <w:t>F1</w:t>
            </w:r>
          </w:p>
        </w:tc>
        <w:tc>
          <w:tcPr>
            <w:tcW w:type="dxa" w:w="1512"/>
            <w:vAlign w:val="center"/>
            <w:tcMar>
              <w:top w:w="85" w:type="dxa"/>
              <w:bottom w:w="85" w:type="dxa"/>
              <w:left w:w="100" w:type="dxa"/>
              <w:right w:w="100" w:type="dxa"/>
            </w:tcMar>
            <w:shd w:fill="20374B"/>
          </w:tcPr>
          <w:p>
            <w:pPr>
              <w:spacing w:after="0" w:line="252" w:lineRule="auto"/>
              <w:jc w:val="center"/>
            </w:pPr>
            <w:r>
              <w:rPr>
                <w:b/>
                <w:color w:val="FFFFFF"/>
                <w:sz w:val="18"/>
              </w:rPr>
              <w:t>F1 change pp</w:t>
            </w:r>
          </w:p>
        </w:tc>
      </w:tr>
      <w:tr>
        <w:trPr>
          <w:cantSplit/>
        </w:trPr>
        <w:tc>
          <w:tcPr>
            <w:tcW w:type="dxa" w:w="3600"/>
            <w:vAlign w:val="center"/>
            <w:tcMar>
              <w:top w:w="85" w:type="dxa"/>
              <w:bottom w:w="85" w:type="dxa"/>
              <w:left w:w="100" w:type="dxa"/>
              <w:right w:w="100" w:type="dxa"/>
            </w:tcMar>
            <w:shd w:fill="F1F5F8"/>
          </w:tcPr>
          <w:p>
            <w:pPr>
              <w:spacing w:after="0" w:line="252" w:lineRule="auto"/>
              <w:jc w:val="left"/>
            </w:pPr>
            <w:r>
              <w:rPr>
                <w:b w:val="0"/>
                <w:color w:val="000000"/>
                <w:sz w:val="18"/>
              </w:rPr>
              <w:t>Clean reference</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50.90%</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40.96%</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45.39%</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+0.00</w:t>
            </w:r>
          </w:p>
        </w:tc>
      </w:tr>
      <w:tr>
        <w:trPr>
          <w:cantSplit/>
        </w:trPr>
        <w:tc>
          <w:tcPr>
            <w:tcW w:type="dxa" w:w="3600"/>
            <w:vAlign w:val="center"/>
            <w:tcMar>
              <w:top w:w="85" w:type="dxa"/>
              <w:bottom w:w="85" w:type="dxa"/>
              <w:left w:w="100" w:type="dxa"/>
              <w:right w:w="100" w:type="dxa"/>
            </w:tcMar>
            <w:shd w:fill="FFFFFF"/>
          </w:tcPr>
          <w:p>
            <w:pPr>
              <w:spacing w:after="0" w:line="252" w:lineRule="auto"/>
              <w:jc w:val="left"/>
            </w:pPr>
            <w:r>
              <w:rPr>
                <w:b w:val="0"/>
                <w:color w:val="000000"/>
                <w:sz w:val="18"/>
              </w:rPr>
              <w:t>Brightness times 0.75</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51.04%</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40.96%</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45.44%</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+0.05</w:t>
            </w:r>
          </w:p>
        </w:tc>
      </w:tr>
      <w:tr>
        <w:trPr>
          <w:cantSplit/>
        </w:trPr>
        <w:tc>
          <w:tcPr>
            <w:tcW w:type="dxa" w:w="3600"/>
            <w:vAlign w:val="center"/>
            <w:tcMar>
              <w:top w:w="85" w:type="dxa"/>
              <w:bottom w:w="85" w:type="dxa"/>
              <w:left w:w="100" w:type="dxa"/>
              <w:right w:w="100" w:type="dxa"/>
            </w:tcMar>
            <w:shd w:fill="F1F5F8"/>
          </w:tcPr>
          <w:p>
            <w:pPr>
              <w:spacing w:after="0" w:line="252" w:lineRule="auto"/>
              <w:jc w:val="left"/>
            </w:pPr>
            <w:r>
              <w:rPr>
                <w:b w:val="0"/>
                <w:color w:val="000000"/>
                <w:sz w:val="18"/>
              </w:rPr>
              <w:t>Brightness times 0.50</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54.65%</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40.33%</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46.41%</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+1.02</w:t>
            </w:r>
          </w:p>
        </w:tc>
      </w:tr>
      <w:tr>
        <w:trPr>
          <w:cantSplit/>
        </w:trPr>
        <w:tc>
          <w:tcPr>
            <w:tcW w:type="dxa" w:w="3600"/>
            <w:vAlign w:val="center"/>
            <w:tcMar>
              <w:top w:w="85" w:type="dxa"/>
              <w:bottom w:w="85" w:type="dxa"/>
              <w:left w:w="100" w:type="dxa"/>
              <w:right w:w="100" w:type="dxa"/>
            </w:tcMar>
            <w:shd w:fill="FFFFFF"/>
          </w:tcPr>
          <w:p>
            <w:pPr>
              <w:spacing w:after="0" w:line="252" w:lineRule="auto"/>
              <w:jc w:val="left"/>
            </w:pPr>
            <w:r>
              <w:rPr>
                <w:b w:val="0"/>
                <w:color w:val="000000"/>
                <w:sz w:val="18"/>
              </w:rPr>
              <w:t>Brightness times 1.50</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48.31%</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35.55%</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40.96%</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-4.43</w:t>
            </w:r>
          </w:p>
        </w:tc>
      </w:tr>
      <w:tr>
        <w:trPr>
          <w:cantSplit/>
        </w:trPr>
        <w:tc>
          <w:tcPr>
            <w:tcW w:type="dxa" w:w="3600"/>
            <w:vAlign w:val="center"/>
            <w:tcMar>
              <w:top w:w="85" w:type="dxa"/>
              <w:bottom w:w="85" w:type="dxa"/>
              <w:left w:w="100" w:type="dxa"/>
              <w:right w:w="100" w:type="dxa"/>
            </w:tcMar>
            <w:shd w:fill="F1F5F8"/>
          </w:tcPr>
          <w:p>
            <w:pPr>
              <w:spacing w:after="0" w:line="252" w:lineRule="auto"/>
              <w:jc w:val="left"/>
            </w:pPr>
            <w:r>
              <w:rPr>
                <w:b w:val="0"/>
                <w:color w:val="000000"/>
                <w:sz w:val="18"/>
              </w:rPr>
              <w:t>Gaussian blur 5 by 5</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61.60%</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16.01%</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25.41%</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-19.98</w:t>
            </w:r>
          </w:p>
        </w:tc>
      </w:tr>
      <w:tr>
        <w:trPr>
          <w:cantSplit/>
        </w:trPr>
        <w:tc>
          <w:tcPr>
            <w:tcW w:type="dxa" w:w="3600"/>
            <w:vAlign w:val="center"/>
            <w:tcMar>
              <w:top w:w="85" w:type="dxa"/>
              <w:bottom w:w="85" w:type="dxa"/>
              <w:left w:w="100" w:type="dxa"/>
              <w:right w:w="100" w:type="dxa"/>
            </w:tcMar>
            <w:shd w:fill="FFFFFF"/>
          </w:tcPr>
          <w:p>
            <w:pPr>
              <w:spacing w:after="0" w:line="252" w:lineRule="auto"/>
              <w:jc w:val="left"/>
            </w:pPr>
            <w:r>
              <w:rPr>
                <w:b w:val="0"/>
                <w:color w:val="000000"/>
                <w:sz w:val="18"/>
              </w:rPr>
              <w:t>Gaussian noise sigma 15</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54.37%</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23.28%</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32.61%</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-12.79</w:t>
            </w:r>
          </w:p>
        </w:tc>
      </w:tr>
      <w:tr>
        <w:trPr>
          <w:cantSplit/>
        </w:trPr>
        <w:tc>
          <w:tcPr>
            <w:tcW w:type="dxa" w:w="3600"/>
            <w:vAlign w:val="center"/>
            <w:tcMar>
              <w:top w:w="85" w:type="dxa"/>
              <w:bottom w:w="85" w:type="dxa"/>
              <w:left w:w="100" w:type="dxa"/>
              <w:right w:w="100" w:type="dxa"/>
            </w:tcMar>
            <w:shd w:fill="F1F5F8"/>
          </w:tcPr>
          <w:p>
            <w:pPr>
              <w:spacing w:after="0" w:line="252" w:lineRule="auto"/>
              <w:jc w:val="left"/>
            </w:pPr>
            <w:r>
              <w:rPr>
                <w:b w:val="0"/>
                <w:color w:val="000000"/>
                <w:sz w:val="18"/>
              </w:rPr>
              <w:t>JPEG quality 30</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51.80%</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23.91%</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32.72%</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-12.67</w:t>
            </w:r>
          </w:p>
        </w:tc>
      </w:tr>
      <w:tr>
        <w:trPr>
          <w:cantSplit/>
        </w:trPr>
        <w:tc>
          <w:tcPr>
            <w:tcW w:type="dxa" w:w="3600"/>
            <w:vAlign w:val="center"/>
            <w:tcMar>
              <w:top w:w="85" w:type="dxa"/>
              <w:bottom w:w="85" w:type="dxa"/>
              <w:left w:w="100" w:type="dxa"/>
              <w:right w:w="100" w:type="dxa"/>
            </w:tcMar>
            <w:shd w:fill="FFFFFF"/>
          </w:tcPr>
          <w:p>
            <w:pPr>
              <w:spacing w:after="0" w:line="252" w:lineRule="auto"/>
              <w:jc w:val="left"/>
            </w:pPr>
            <w:r>
              <w:rPr>
                <w:b w:val="0"/>
                <w:color w:val="000000"/>
                <w:sz w:val="18"/>
              </w:rPr>
              <w:t>Darkness and blur</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56.15%</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15.18%</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23.90%</w:t>
            </w:r>
          </w:p>
        </w:tc>
        <w:tc>
          <w:tcPr>
            <w:tcW w:type="dxa" w:w="1512"/>
            <w:vAlign w:val="center"/>
            <w:tcMar>
              <w:top w:w="85" w:type="dxa"/>
              <w:bottom w:w="85" w:type="dxa"/>
              <w:left w:w="100" w:type="dxa"/>
              <w:right w:w="100" w:type="dxa"/>
            </w:tcMar>
            <w:shd w:fill="FFFFFF"/>
          </w:tcPr>
          <w:p>
            <w:pPr>
              <w:spacing w:after="0" w:line="252" w:lineRule="auto"/>
              <w:jc w:val="center"/>
            </w:pPr>
            <w:r>
              <w:rPr>
                <w:b w:val="0"/>
                <w:color w:val="000000"/>
                <w:sz w:val="18"/>
              </w:rPr>
              <w:t>-21.50</w:t>
            </w:r>
          </w:p>
        </w:tc>
      </w:tr>
      <w:tr>
        <w:trPr>
          <w:cantSplit/>
        </w:trPr>
        <w:tc>
          <w:tcPr>
            <w:tcW w:type="dxa" w:w="3600"/>
            <w:vAlign w:val="center"/>
            <w:tcMar>
              <w:top w:w="85" w:type="dxa"/>
              <w:bottom w:w="85" w:type="dxa"/>
              <w:left w:w="100" w:type="dxa"/>
              <w:right w:w="100" w:type="dxa"/>
            </w:tcMar>
            <w:shd w:fill="F1F5F8"/>
          </w:tcPr>
          <w:p>
            <w:pPr>
              <w:spacing w:after="0" w:line="252" w:lineRule="auto"/>
              <w:jc w:val="left"/>
            </w:pPr>
            <w:r>
              <w:rPr>
                <w:b w:val="0"/>
                <w:color w:val="000000"/>
                <w:sz w:val="18"/>
              </w:rPr>
              <w:t>Horizontal flip</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52.00%</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40.54%</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45.56%</w:t>
            </w:r>
          </w:p>
        </w:tc>
        <w:tc>
          <w:tcPr>
            <w:tcW w:type="dxa" w:w="1512"/>
            <w:vAlign w:val="center"/>
            <w:tcMar>
              <w:top w:w="85" w:type="dxa"/>
              <w:bottom w:w="85" w:type="dxa"/>
              <w:left w:w="100" w:type="dxa"/>
              <w:right w:w="100" w:type="dxa"/>
            </w:tcMar>
            <w:shd w:fill="F1F5F8"/>
          </w:tcPr>
          <w:p>
            <w:pPr>
              <w:spacing w:after="0" w:line="252" w:lineRule="auto"/>
              <w:jc w:val="center"/>
            </w:pPr>
            <w:r>
              <w:rPr>
                <w:b w:val="0"/>
                <w:color w:val="000000"/>
                <w:sz w:val="18"/>
              </w:rPr>
              <w:t>+0.17</w:t>
            </w:r>
          </w:p>
        </w:tc>
      </w:tr>
    </w:tbl>
    <w:p>
      <w:pPr>
        <w:spacing w:after="20"/>
      </w:pPr>
    </w:p>
    <w:p>
      <w:r>
        <w:t>Brightness values were multiplied and clipped to 0 to 255. Blur used a 5 by 5 kernel with sigma 1.5. Gaussian noise had standard deviation 15 in the 0 to 255 pixel range. JPEG was encoded at quality 30 and decoded. Percentage-point changes are relative to the clean subset, whose F1 was 45.39 percent.</w:t>
      </w:r>
    </w:p>
    <w:p>
      <w:r>
        <w:br w:type="page"/>
      </w:r>
    </w:p>
    <w:p>
      <w:pPr>
        <w:pStyle w:val="Heading1"/>
      </w:pPr>
      <w:r>
        <w:t>Factor interactions and prediction consistency</w:t>
      </w:r>
    </w:p>
    <w:p>
      <w:pPr>
        <w:pStyle w:val="Heading1"/>
      </w:pPr>
      <w:r>
        <w:t>Darkness and blur comparison</w:t>
      </w:r>
    </w:p>
    <w:p>
      <w:r>
        <w:t>Clean, darkness only, blur only, and darkness with blur form a complete two by two factorial design for these two binary factors. This covers the pair of tested factors, not every pair of environmental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024"/>
        <w:gridCol w:w="3312"/>
      </w:tblGrid>
      <w:tr>
        <w:trPr>
          <w:tblHeader/>
          <w:cantSplit/>
        </w:trPr>
        <w:tc>
          <w:tcPr>
            <w:tcW w:type="dxa" w:w="3312"/>
            <w:vAlign w:val="center"/>
            <w:tcMar>
              <w:top w:w="85" w:type="dxa"/>
              <w:bottom w:w="85" w:type="dxa"/>
              <w:left w:w="100" w:type="dxa"/>
              <w:right w:w="100" w:type="dxa"/>
            </w:tcMar>
            <w:shd w:fill="20374B"/>
          </w:tcPr>
          <w:p>
            <w:pPr>
              <w:spacing w:after="0" w:line="252" w:lineRule="auto"/>
              <w:jc w:val="left"/>
            </w:pPr>
            <w:r>
              <w:rPr>
                <w:b/>
                <w:color w:val="FFFFFF"/>
                <w:sz w:val="18"/>
              </w:rPr>
              <w:t>Brightness factor</w:t>
            </w:r>
          </w:p>
        </w:tc>
        <w:tc>
          <w:tcPr>
            <w:tcW w:type="dxa" w:w="3024"/>
            <w:vAlign w:val="center"/>
            <w:tcMar>
              <w:top w:w="85" w:type="dxa"/>
              <w:bottom w:w="85" w:type="dxa"/>
              <w:left w:w="100" w:type="dxa"/>
              <w:right w:w="100" w:type="dxa"/>
            </w:tcMar>
            <w:shd w:fill="20374B"/>
          </w:tcPr>
          <w:p>
            <w:pPr>
              <w:spacing w:after="0" w:line="252" w:lineRule="auto"/>
              <w:jc w:val="center"/>
            </w:pPr>
            <w:r>
              <w:rPr>
                <w:b/>
                <w:color w:val="FFFFFF"/>
                <w:sz w:val="18"/>
              </w:rPr>
              <w:t>Blur</w:t>
            </w:r>
          </w:p>
        </w:tc>
        <w:tc>
          <w:tcPr>
            <w:tcW w:type="dxa" w:w="3312"/>
            <w:vAlign w:val="center"/>
            <w:tcMar>
              <w:top w:w="85" w:type="dxa"/>
              <w:bottom w:w="85" w:type="dxa"/>
              <w:left w:w="100" w:type="dxa"/>
              <w:right w:w="100" w:type="dxa"/>
            </w:tcMar>
            <w:shd w:fill="20374B"/>
          </w:tcPr>
          <w:p>
            <w:pPr>
              <w:spacing w:after="0" w:line="252" w:lineRule="auto"/>
              <w:jc w:val="center"/>
            </w:pPr>
            <w:r>
              <w:rPr>
                <w:b/>
                <w:color w:val="FFFFFF"/>
                <w:sz w:val="18"/>
              </w:rPr>
              <w:t>F1</w:t>
            </w:r>
          </w:p>
        </w:tc>
      </w:tr>
      <w:tr>
        <w:trPr>
          <w:cantSplit/>
        </w:trPr>
        <w:tc>
          <w:tcPr>
            <w:tcW w:type="dxa" w:w="3312"/>
            <w:vAlign w:val="center"/>
            <w:tcMar>
              <w:top w:w="85" w:type="dxa"/>
              <w:bottom w:w="85" w:type="dxa"/>
              <w:left w:w="100" w:type="dxa"/>
              <w:right w:w="100" w:type="dxa"/>
            </w:tcMar>
            <w:shd w:fill="F1F5F8"/>
          </w:tcPr>
          <w:p>
            <w:pPr>
              <w:spacing w:after="0" w:line="252" w:lineRule="auto"/>
              <w:jc w:val="left"/>
            </w:pPr>
            <w:r>
              <w:rPr>
                <w:b w:val="0"/>
                <w:color w:val="000000"/>
                <w:sz w:val="18"/>
              </w:rPr>
              <w:t>1.00</w:t>
            </w:r>
          </w:p>
        </w:tc>
        <w:tc>
          <w:tcPr>
            <w:tcW w:type="dxa" w:w="3024"/>
            <w:vAlign w:val="center"/>
            <w:tcMar>
              <w:top w:w="85" w:type="dxa"/>
              <w:bottom w:w="85" w:type="dxa"/>
              <w:left w:w="100" w:type="dxa"/>
              <w:right w:w="100" w:type="dxa"/>
            </w:tcMar>
            <w:shd w:fill="F1F5F8"/>
          </w:tcPr>
          <w:p>
            <w:pPr>
              <w:spacing w:after="0" w:line="252" w:lineRule="auto"/>
              <w:jc w:val="center"/>
            </w:pPr>
            <w:r>
              <w:rPr>
                <w:b w:val="0"/>
                <w:color w:val="000000"/>
                <w:sz w:val="18"/>
              </w:rPr>
              <w:t>Off</w:t>
            </w:r>
          </w:p>
        </w:tc>
        <w:tc>
          <w:tcPr>
            <w:tcW w:type="dxa" w:w="3312"/>
            <w:vAlign w:val="center"/>
            <w:tcMar>
              <w:top w:w="85" w:type="dxa"/>
              <w:bottom w:w="85" w:type="dxa"/>
              <w:left w:w="100" w:type="dxa"/>
              <w:right w:w="100" w:type="dxa"/>
            </w:tcMar>
            <w:shd w:fill="F1F5F8"/>
          </w:tcPr>
          <w:p>
            <w:pPr>
              <w:spacing w:after="0" w:line="252" w:lineRule="auto"/>
              <w:jc w:val="center"/>
            </w:pPr>
            <w:r>
              <w:rPr>
                <w:b w:val="0"/>
                <w:color w:val="000000"/>
                <w:sz w:val="18"/>
              </w:rPr>
              <w:t>45.39%</w:t>
            </w:r>
          </w:p>
        </w:tc>
      </w:tr>
      <w:tr>
        <w:trPr>
          <w:cantSplit/>
        </w:trPr>
        <w:tc>
          <w:tcPr>
            <w:tcW w:type="dxa" w:w="3312"/>
            <w:vAlign w:val="center"/>
            <w:tcMar>
              <w:top w:w="85" w:type="dxa"/>
              <w:bottom w:w="85" w:type="dxa"/>
              <w:left w:w="100" w:type="dxa"/>
              <w:right w:w="100" w:type="dxa"/>
            </w:tcMar>
            <w:shd w:fill="FFFFFF"/>
          </w:tcPr>
          <w:p>
            <w:pPr>
              <w:spacing w:after="0" w:line="252" w:lineRule="auto"/>
              <w:jc w:val="left"/>
            </w:pPr>
            <w:r>
              <w:rPr>
                <w:b w:val="0"/>
                <w:color w:val="000000"/>
                <w:sz w:val="18"/>
              </w:rPr>
              <w:t>0.50</w:t>
            </w:r>
          </w:p>
        </w:tc>
        <w:tc>
          <w:tcPr>
            <w:tcW w:type="dxa" w:w="3024"/>
            <w:vAlign w:val="center"/>
            <w:tcMar>
              <w:top w:w="85" w:type="dxa"/>
              <w:bottom w:w="85" w:type="dxa"/>
              <w:left w:w="100" w:type="dxa"/>
              <w:right w:w="100" w:type="dxa"/>
            </w:tcMar>
            <w:shd w:fill="FFFFFF"/>
          </w:tcPr>
          <w:p>
            <w:pPr>
              <w:spacing w:after="0" w:line="252" w:lineRule="auto"/>
              <w:jc w:val="center"/>
            </w:pPr>
            <w:r>
              <w:rPr>
                <w:b w:val="0"/>
                <w:color w:val="000000"/>
                <w:sz w:val="18"/>
              </w:rPr>
              <w:t>Off</w:t>
            </w:r>
          </w:p>
        </w:tc>
        <w:tc>
          <w:tcPr>
            <w:tcW w:type="dxa" w:w="3312"/>
            <w:vAlign w:val="center"/>
            <w:tcMar>
              <w:top w:w="85" w:type="dxa"/>
              <w:bottom w:w="85" w:type="dxa"/>
              <w:left w:w="100" w:type="dxa"/>
              <w:right w:w="100" w:type="dxa"/>
            </w:tcMar>
            <w:shd w:fill="FFFFFF"/>
          </w:tcPr>
          <w:p>
            <w:pPr>
              <w:spacing w:after="0" w:line="252" w:lineRule="auto"/>
              <w:jc w:val="center"/>
            </w:pPr>
            <w:r>
              <w:rPr>
                <w:b w:val="0"/>
                <w:color w:val="000000"/>
                <w:sz w:val="18"/>
              </w:rPr>
              <w:t>46.41%</w:t>
            </w:r>
          </w:p>
        </w:tc>
      </w:tr>
      <w:tr>
        <w:trPr>
          <w:cantSplit/>
        </w:trPr>
        <w:tc>
          <w:tcPr>
            <w:tcW w:type="dxa" w:w="3312"/>
            <w:vAlign w:val="center"/>
            <w:tcMar>
              <w:top w:w="85" w:type="dxa"/>
              <w:bottom w:w="85" w:type="dxa"/>
              <w:left w:w="100" w:type="dxa"/>
              <w:right w:w="100" w:type="dxa"/>
            </w:tcMar>
            <w:shd w:fill="F1F5F8"/>
          </w:tcPr>
          <w:p>
            <w:pPr>
              <w:spacing w:after="0" w:line="252" w:lineRule="auto"/>
              <w:jc w:val="left"/>
            </w:pPr>
            <w:r>
              <w:rPr>
                <w:b w:val="0"/>
                <w:color w:val="000000"/>
                <w:sz w:val="18"/>
              </w:rPr>
              <w:t>1.00</w:t>
            </w:r>
          </w:p>
        </w:tc>
        <w:tc>
          <w:tcPr>
            <w:tcW w:type="dxa" w:w="3024"/>
            <w:vAlign w:val="center"/>
            <w:tcMar>
              <w:top w:w="85" w:type="dxa"/>
              <w:bottom w:w="85" w:type="dxa"/>
              <w:left w:w="100" w:type="dxa"/>
              <w:right w:w="100" w:type="dxa"/>
            </w:tcMar>
            <w:shd w:fill="F1F5F8"/>
          </w:tcPr>
          <w:p>
            <w:pPr>
              <w:spacing w:after="0" w:line="252" w:lineRule="auto"/>
              <w:jc w:val="center"/>
            </w:pPr>
            <w:r>
              <w:rPr>
                <w:b w:val="0"/>
                <w:color w:val="000000"/>
                <w:sz w:val="18"/>
              </w:rPr>
              <w:t>On</w:t>
            </w:r>
          </w:p>
        </w:tc>
        <w:tc>
          <w:tcPr>
            <w:tcW w:type="dxa" w:w="3312"/>
            <w:vAlign w:val="center"/>
            <w:tcMar>
              <w:top w:w="85" w:type="dxa"/>
              <w:bottom w:w="85" w:type="dxa"/>
              <w:left w:w="100" w:type="dxa"/>
              <w:right w:w="100" w:type="dxa"/>
            </w:tcMar>
            <w:shd w:fill="F1F5F8"/>
          </w:tcPr>
          <w:p>
            <w:pPr>
              <w:spacing w:after="0" w:line="252" w:lineRule="auto"/>
              <w:jc w:val="center"/>
            </w:pPr>
            <w:r>
              <w:rPr>
                <w:b w:val="0"/>
                <w:color w:val="000000"/>
                <w:sz w:val="18"/>
              </w:rPr>
              <w:t>25.41%</w:t>
            </w:r>
          </w:p>
        </w:tc>
      </w:tr>
      <w:tr>
        <w:trPr>
          <w:cantSplit/>
        </w:trPr>
        <w:tc>
          <w:tcPr>
            <w:tcW w:type="dxa" w:w="3312"/>
            <w:vAlign w:val="center"/>
            <w:tcMar>
              <w:top w:w="85" w:type="dxa"/>
              <w:bottom w:w="85" w:type="dxa"/>
              <w:left w:w="100" w:type="dxa"/>
              <w:right w:w="100" w:type="dxa"/>
            </w:tcMar>
            <w:shd w:fill="FFFFFF"/>
          </w:tcPr>
          <w:p>
            <w:pPr>
              <w:spacing w:after="0" w:line="252" w:lineRule="auto"/>
              <w:jc w:val="left"/>
            </w:pPr>
            <w:r>
              <w:rPr>
                <w:b w:val="0"/>
                <w:color w:val="000000"/>
                <w:sz w:val="18"/>
              </w:rPr>
              <w:t>0.50</w:t>
            </w:r>
          </w:p>
        </w:tc>
        <w:tc>
          <w:tcPr>
            <w:tcW w:type="dxa" w:w="3024"/>
            <w:vAlign w:val="center"/>
            <w:tcMar>
              <w:top w:w="85" w:type="dxa"/>
              <w:bottom w:w="85" w:type="dxa"/>
              <w:left w:w="100" w:type="dxa"/>
              <w:right w:w="100" w:type="dxa"/>
            </w:tcMar>
            <w:shd w:fill="FFFFFF"/>
          </w:tcPr>
          <w:p>
            <w:pPr>
              <w:spacing w:after="0" w:line="252" w:lineRule="auto"/>
              <w:jc w:val="center"/>
            </w:pPr>
            <w:r>
              <w:rPr>
                <w:b w:val="0"/>
                <w:color w:val="000000"/>
                <w:sz w:val="18"/>
              </w:rPr>
              <w:t>On</w:t>
            </w:r>
          </w:p>
        </w:tc>
        <w:tc>
          <w:tcPr>
            <w:tcW w:type="dxa" w:w="3312"/>
            <w:vAlign w:val="center"/>
            <w:tcMar>
              <w:top w:w="85" w:type="dxa"/>
              <w:bottom w:w="85" w:type="dxa"/>
              <w:left w:w="100" w:type="dxa"/>
              <w:right w:w="100" w:type="dxa"/>
            </w:tcMar>
            <w:shd w:fill="FFFFFF"/>
          </w:tcPr>
          <w:p>
            <w:pPr>
              <w:spacing w:after="0" w:line="252" w:lineRule="auto"/>
              <w:jc w:val="center"/>
            </w:pPr>
            <w:r>
              <w:rPr>
                <w:b w:val="0"/>
                <w:color w:val="000000"/>
                <w:sz w:val="18"/>
              </w:rPr>
              <w:t>23.90%</w:t>
            </w:r>
          </w:p>
        </w:tc>
      </w:tr>
    </w:tbl>
    <w:p>
      <w:pPr>
        <w:spacing w:after="20"/>
      </w:pPr>
    </w:p>
    <w:p>
      <w:r>
        <w:t>Blur reduced F1 by 19.98 percentage points. Darkness with blur produced the lowest F1, 23.90 percent, a decrease of 21.50 points. Darkness alone increased F1 by 1.02 points on this sample; this is not evidence that darkness generally improves detection. No paired confidence interval or significance test was calculated for these differences.</w:t>
      </w:r>
    </w:p>
    <w:p>
      <w:pPr>
        <w:pStyle w:val="Heading1"/>
      </w:pPr>
      <w:r>
        <w:t>Horizontal reflection relation</w:t>
      </w:r>
    </w:p>
    <w:p>
      <w:r>
        <w:t>The metamorphic hypothesis was that mirroring an image should approximately preserve damage detections after coordinates are reflected back. Same-class boxes were matched at IoU at least 0.50 after applying the reverse coordinate transform.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2"/>
        <w:gridCol w:w="3456"/>
      </w:tblGrid>
      <w:tr>
        <w:trPr>
          <w:tblHeader/>
          <w:cantSplit/>
        </w:trPr>
        <w:tc>
          <w:tcPr>
            <w:tcW w:type="dxa" w:w="6192"/>
            <w:vAlign w:val="center"/>
            <w:tcMar>
              <w:top w:w="85" w:type="dxa"/>
              <w:bottom w:w="85" w:type="dxa"/>
              <w:left w:w="100" w:type="dxa"/>
              <w:right w:w="100" w:type="dxa"/>
            </w:tcMar>
            <w:shd w:fill="20374B"/>
          </w:tcPr>
          <w:p>
            <w:pPr>
              <w:spacing w:after="0" w:line="252" w:lineRule="auto"/>
              <w:jc w:val="left"/>
            </w:pPr>
            <w:r>
              <w:rPr>
                <w:b/>
                <w:color w:val="FFFFFF"/>
                <w:sz w:val="18"/>
              </w:rPr>
              <w:t>Consistency measure</w:t>
            </w:r>
          </w:p>
        </w:tc>
        <w:tc>
          <w:tcPr>
            <w:tcW w:type="dxa" w:w="3456"/>
            <w:vAlign w:val="center"/>
            <w:tcMar>
              <w:top w:w="85" w:type="dxa"/>
              <w:bottom w:w="85" w:type="dxa"/>
              <w:left w:w="100" w:type="dxa"/>
              <w:right w:w="100" w:type="dxa"/>
            </w:tcMar>
            <w:shd w:fill="20374B"/>
          </w:tcPr>
          <w:p>
            <w:pPr>
              <w:spacing w:after="0" w:line="252" w:lineRule="auto"/>
              <w:jc w:val="center"/>
            </w:pPr>
            <w:r>
              <w:rPr>
                <w:b/>
                <w:color w:val="FFFFFF"/>
                <w:sz w:val="18"/>
              </w:rPr>
              <w:t>Value</w:t>
            </w:r>
          </w:p>
        </w:tc>
      </w:tr>
      <w:tr>
        <w:trPr>
          <w:cantSplit/>
        </w:trPr>
        <w:tc>
          <w:tcPr>
            <w:tcW w:type="dxa" w:w="6192"/>
            <w:vAlign w:val="center"/>
            <w:tcMar>
              <w:top w:w="85" w:type="dxa"/>
              <w:bottom w:w="85" w:type="dxa"/>
              <w:left w:w="100" w:type="dxa"/>
              <w:right w:w="100" w:type="dxa"/>
            </w:tcMar>
            <w:shd w:fill="F1F5F8"/>
          </w:tcPr>
          <w:p>
            <w:pPr>
              <w:spacing w:after="0" w:line="252" w:lineRule="auto"/>
              <w:jc w:val="left"/>
            </w:pPr>
            <w:r>
              <w:rPr>
                <w:b w:val="0"/>
                <w:color w:val="000000"/>
                <w:sz w:val="18"/>
              </w:rPr>
              <w:t>Matched boxes</w:t>
            </w:r>
          </w:p>
        </w:tc>
        <w:tc>
          <w:tcPr>
            <w:tcW w:type="dxa" w:w="3456"/>
            <w:vAlign w:val="center"/>
            <w:tcMar>
              <w:top w:w="85" w:type="dxa"/>
              <w:bottom w:w="85" w:type="dxa"/>
              <w:left w:w="100" w:type="dxa"/>
              <w:right w:w="100" w:type="dxa"/>
            </w:tcMar>
            <w:shd w:fill="F1F5F8"/>
          </w:tcPr>
          <w:p>
            <w:pPr>
              <w:spacing w:after="0" w:line="252" w:lineRule="auto"/>
              <w:jc w:val="center"/>
            </w:pPr>
            <w:r>
              <w:rPr>
                <w:b w:val="0"/>
                <w:color w:val="000000"/>
                <w:sz w:val="18"/>
              </w:rPr>
              <w:t>312</w:t>
            </w:r>
          </w:p>
        </w:tc>
      </w:tr>
      <w:tr>
        <w:trPr>
          <w:cantSplit/>
        </w:trPr>
        <w:tc>
          <w:tcPr>
            <w:tcW w:type="dxa" w:w="6192"/>
            <w:vAlign w:val="center"/>
            <w:tcMar>
              <w:top w:w="85" w:type="dxa"/>
              <w:bottom w:w="85" w:type="dxa"/>
              <w:left w:w="100" w:type="dxa"/>
              <w:right w:w="100" w:type="dxa"/>
            </w:tcMar>
            <w:shd w:fill="FFFFFF"/>
          </w:tcPr>
          <w:p>
            <w:pPr>
              <w:spacing w:after="0" w:line="252" w:lineRule="auto"/>
              <w:jc w:val="left"/>
            </w:pPr>
            <w:r>
              <w:rPr>
                <w:b w:val="0"/>
                <w:color w:val="000000"/>
                <w:sz w:val="18"/>
              </w:rPr>
              <w:t>Clean and flipped retained boxes</w:t>
            </w:r>
          </w:p>
        </w:tc>
        <w:tc>
          <w:tcPr>
            <w:tcW w:type="dxa" w:w="3456"/>
            <w:vAlign w:val="center"/>
            <w:tcMar>
              <w:top w:w="85" w:type="dxa"/>
              <w:bottom w:w="85" w:type="dxa"/>
              <w:left w:w="100" w:type="dxa"/>
              <w:right w:w="100" w:type="dxa"/>
            </w:tcMar>
            <w:shd w:fill="FFFFFF"/>
          </w:tcPr>
          <w:p>
            <w:pPr>
              <w:spacing w:after="0" w:line="252" w:lineRule="auto"/>
              <w:jc w:val="center"/>
            </w:pPr>
            <w:r>
              <w:rPr>
                <w:b w:val="0"/>
                <w:color w:val="000000"/>
                <w:sz w:val="18"/>
              </w:rPr>
              <w:t>387 and 375</w:t>
            </w:r>
          </w:p>
        </w:tc>
      </w:tr>
      <w:tr>
        <w:trPr>
          <w:cantSplit/>
        </w:trPr>
        <w:tc>
          <w:tcPr>
            <w:tcW w:type="dxa" w:w="6192"/>
            <w:vAlign w:val="center"/>
            <w:tcMar>
              <w:top w:w="85" w:type="dxa"/>
              <w:bottom w:w="85" w:type="dxa"/>
              <w:left w:w="100" w:type="dxa"/>
              <w:right w:w="100" w:type="dxa"/>
            </w:tcMar>
            <w:shd w:fill="F1F5F8"/>
          </w:tcPr>
          <w:p>
            <w:pPr>
              <w:spacing w:after="0" w:line="252" w:lineRule="auto"/>
              <w:jc w:val="left"/>
            </w:pPr>
            <w:r>
              <w:rPr>
                <w:b w:val="0"/>
                <w:color w:val="000000"/>
                <w:sz w:val="18"/>
              </w:rPr>
              <w:t>Clean detection retention</w:t>
            </w:r>
          </w:p>
        </w:tc>
        <w:tc>
          <w:tcPr>
            <w:tcW w:type="dxa" w:w="3456"/>
            <w:vAlign w:val="center"/>
            <w:tcMar>
              <w:top w:w="85" w:type="dxa"/>
              <w:bottom w:w="85" w:type="dxa"/>
              <w:left w:w="100" w:type="dxa"/>
              <w:right w:w="100" w:type="dxa"/>
            </w:tcMar>
            <w:shd w:fill="F1F5F8"/>
          </w:tcPr>
          <w:p>
            <w:pPr>
              <w:spacing w:after="0" w:line="252" w:lineRule="auto"/>
              <w:jc w:val="center"/>
            </w:pPr>
            <w:r>
              <w:rPr>
                <w:b w:val="0"/>
                <w:color w:val="000000"/>
                <w:sz w:val="18"/>
              </w:rPr>
              <w:t>80.62%</w:t>
            </w:r>
          </w:p>
        </w:tc>
      </w:tr>
      <w:tr>
        <w:trPr>
          <w:cantSplit/>
        </w:trPr>
        <w:tc>
          <w:tcPr>
            <w:tcW w:type="dxa" w:w="6192"/>
            <w:vAlign w:val="center"/>
            <w:tcMar>
              <w:top w:w="85" w:type="dxa"/>
              <w:bottom w:w="85" w:type="dxa"/>
              <w:left w:w="100" w:type="dxa"/>
              <w:right w:w="100" w:type="dxa"/>
            </w:tcMar>
            <w:shd w:fill="FFFFFF"/>
          </w:tcPr>
          <w:p>
            <w:pPr>
              <w:spacing w:after="0" w:line="252" w:lineRule="auto"/>
              <w:jc w:val="left"/>
            </w:pPr>
            <w:r>
              <w:rPr>
                <w:b w:val="0"/>
                <w:color w:val="000000"/>
                <w:sz w:val="18"/>
              </w:rPr>
              <w:t>Symmetric consistency F1</w:t>
            </w:r>
          </w:p>
        </w:tc>
        <w:tc>
          <w:tcPr>
            <w:tcW w:type="dxa" w:w="3456"/>
            <w:vAlign w:val="center"/>
            <w:tcMar>
              <w:top w:w="85" w:type="dxa"/>
              <w:bottom w:w="85" w:type="dxa"/>
              <w:left w:w="100" w:type="dxa"/>
              <w:right w:w="100" w:type="dxa"/>
            </w:tcMar>
            <w:shd w:fill="FFFFFF"/>
          </w:tcPr>
          <w:p>
            <w:pPr>
              <w:spacing w:after="0" w:line="252" w:lineRule="auto"/>
              <w:jc w:val="center"/>
            </w:pPr>
            <w:r>
              <w:rPr>
                <w:b w:val="0"/>
                <w:color w:val="000000"/>
                <w:sz w:val="18"/>
              </w:rPr>
              <w:t>81.89%</w:t>
            </w:r>
          </w:p>
        </w:tc>
      </w:tr>
      <w:tr>
        <w:trPr>
          <w:cantSplit/>
        </w:trPr>
        <w:tc>
          <w:tcPr>
            <w:tcW w:type="dxa" w:w="6192"/>
            <w:vAlign w:val="center"/>
            <w:tcMar>
              <w:top w:w="85" w:type="dxa"/>
              <w:bottom w:w="85" w:type="dxa"/>
              <w:left w:w="100" w:type="dxa"/>
              <w:right w:w="100" w:type="dxa"/>
            </w:tcMar>
            <w:shd w:fill="F1F5F8"/>
          </w:tcPr>
          <w:p>
            <w:pPr>
              <w:spacing w:after="0" w:line="252" w:lineRule="auto"/>
              <w:jc w:val="left"/>
            </w:pPr>
            <w:r>
              <w:rPr>
                <w:b w:val="0"/>
                <w:color w:val="000000"/>
                <w:sz w:val="18"/>
              </w:rPr>
              <w:t>Images with complete consistency</w:t>
            </w:r>
          </w:p>
        </w:tc>
        <w:tc>
          <w:tcPr>
            <w:tcW w:type="dxa" w:w="3456"/>
            <w:vAlign w:val="center"/>
            <w:tcMar>
              <w:top w:w="85" w:type="dxa"/>
              <w:bottom w:w="85" w:type="dxa"/>
              <w:left w:w="100" w:type="dxa"/>
              <w:right w:w="100" w:type="dxa"/>
            </w:tcMar>
            <w:shd w:fill="F1F5F8"/>
          </w:tcPr>
          <w:p>
            <w:pPr>
              <w:spacing w:after="0" w:line="252" w:lineRule="auto"/>
              <w:jc w:val="center"/>
            </w:pPr>
            <w:r>
              <w:rPr>
                <w:b w:val="0"/>
                <w:color w:val="000000"/>
                <w:sz w:val="18"/>
              </w:rPr>
              <w:t>199 of 300</w:t>
            </w:r>
          </w:p>
        </w:tc>
      </w:tr>
    </w:tbl>
    <w:p>
      <w:pPr>
        <w:spacing w:after="20"/>
      </w:pPr>
    </w:p>
    <w:p>
      <w:r>
        <w:t>Complete consistency includes images with no detections in either run. The relation measures output stability, not correctness by itself. Reflected scenes may also change directional semantics. Ground-truth detection F1 and prediction consistency should therefore be interpreted together.</w:t>
      </w:r>
    </w:p>
    <w:p>
      <w:pPr>
        <w:pStyle w:val="Heading1"/>
      </w:pPr>
      <w:r>
        <w:t>Limits of these comparisons</w:t>
      </w:r>
    </w:p>
    <w:p>
      <w:r>
        <w:t>The full-set baseline and subset results use different sample sizes and inference preprocessing. Compare each corruption with its own clean subset result. Synthetic blur, darkness and noise do not independently establish performance in real rain, night driving or new camera conditions.</w:t>
      </w:r>
    </w:p>
    <w:p>
      <w:r>
        <w:br w:type="page"/>
      </w:r>
    </w:p>
    <w:p>
      <w:pPr>
        <w:pStyle w:val="Heading1"/>
      </w:pPr>
      <w:r>
        <w:t>Threshold study and future structural ablations</w:t>
      </w:r>
    </w:p>
    <w:p>
      <w:pPr>
        <w:pStyle w:val="Heading1"/>
      </w:pPr>
      <w:r>
        <w:t>Measured confidence threshold sensitivity</w:t>
      </w:r>
    </w:p>
    <w:p>
      <w:r>
        <w:t>The full test predictions were rescored at four thresholds using the same matching rule. Weights and data were fixed. The table describes the precision and recall trade-off; it was not used to select an optimal threshold on the test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656"/>
        <w:gridCol w:w="1656"/>
        <w:gridCol w:w="1656"/>
        <w:gridCol w:w="1584"/>
        <w:gridCol w:w="1584"/>
      </w:tblGrid>
      <w:tr>
        <w:trPr>
          <w:tblHeader/>
          <w:cantSplit/>
        </w:trPr>
        <w:tc>
          <w:tcPr>
            <w:tcW w:type="dxa" w:w="1512"/>
            <w:vAlign w:val="center"/>
            <w:tcMar>
              <w:top w:w="85" w:type="dxa"/>
              <w:bottom w:w="85" w:type="dxa"/>
              <w:left w:w="100" w:type="dxa"/>
              <w:right w:w="100" w:type="dxa"/>
            </w:tcMar>
            <w:shd w:fill="20374B"/>
          </w:tcPr>
          <w:p>
            <w:pPr>
              <w:spacing w:after="0" w:line="252" w:lineRule="auto"/>
              <w:jc w:val="left"/>
            </w:pPr>
            <w:r>
              <w:rPr>
                <w:b/>
                <w:color w:val="FFFFFF"/>
                <w:sz w:val="18"/>
              </w:rPr>
              <w:t>Threshold</w:t>
            </w:r>
          </w:p>
        </w:tc>
        <w:tc>
          <w:tcPr>
            <w:tcW w:type="dxa" w:w="1656"/>
            <w:vAlign w:val="center"/>
            <w:tcMar>
              <w:top w:w="85" w:type="dxa"/>
              <w:bottom w:w="85" w:type="dxa"/>
              <w:left w:w="100" w:type="dxa"/>
              <w:right w:w="100" w:type="dxa"/>
            </w:tcMar>
            <w:shd w:fill="20374B"/>
          </w:tcPr>
          <w:p>
            <w:pPr>
              <w:spacing w:after="0" w:line="252" w:lineRule="auto"/>
              <w:jc w:val="center"/>
            </w:pPr>
            <w:r>
              <w:rPr>
                <w:b/>
                <w:color w:val="FFFFFF"/>
                <w:sz w:val="18"/>
              </w:rPr>
              <w:t>Precision</w:t>
            </w:r>
          </w:p>
        </w:tc>
        <w:tc>
          <w:tcPr>
            <w:tcW w:type="dxa" w:w="1656"/>
            <w:vAlign w:val="center"/>
            <w:tcMar>
              <w:top w:w="85" w:type="dxa"/>
              <w:bottom w:w="85" w:type="dxa"/>
              <w:left w:w="100" w:type="dxa"/>
              <w:right w:w="100" w:type="dxa"/>
            </w:tcMar>
            <w:shd w:fill="20374B"/>
          </w:tcPr>
          <w:p>
            <w:pPr>
              <w:spacing w:after="0" w:line="252" w:lineRule="auto"/>
              <w:jc w:val="center"/>
            </w:pPr>
            <w:r>
              <w:rPr>
                <w:b/>
                <w:color w:val="FFFFFF"/>
                <w:sz w:val="18"/>
              </w:rPr>
              <w:t>Recall</w:t>
            </w:r>
          </w:p>
        </w:tc>
        <w:tc>
          <w:tcPr>
            <w:tcW w:type="dxa" w:w="1656"/>
            <w:vAlign w:val="center"/>
            <w:tcMar>
              <w:top w:w="85" w:type="dxa"/>
              <w:bottom w:w="85" w:type="dxa"/>
              <w:left w:w="100" w:type="dxa"/>
              <w:right w:w="100" w:type="dxa"/>
            </w:tcMar>
            <w:shd w:fill="20374B"/>
          </w:tcPr>
          <w:p>
            <w:pPr>
              <w:spacing w:after="0" w:line="252" w:lineRule="auto"/>
              <w:jc w:val="center"/>
            </w:pPr>
            <w:r>
              <w:rPr>
                <w:b/>
                <w:color w:val="FFFFFF"/>
                <w:sz w:val="18"/>
              </w:rPr>
              <w:t>F1</w:t>
            </w:r>
          </w:p>
        </w:tc>
        <w:tc>
          <w:tcPr>
            <w:tcW w:type="dxa" w:w="1584"/>
            <w:vAlign w:val="center"/>
            <w:tcMar>
              <w:top w:w="85" w:type="dxa"/>
              <w:bottom w:w="85" w:type="dxa"/>
              <w:left w:w="100" w:type="dxa"/>
              <w:right w:w="100" w:type="dxa"/>
            </w:tcMar>
            <w:shd w:fill="20374B"/>
          </w:tcPr>
          <w:p>
            <w:pPr>
              <w:spacing w:after="0" w:line="252" w:lineRule="auto"/>
              <w:jc w:val="center"/>
            </w:pPr>
            <w:r>
              <w:rPr>
                <w:b/>
                <w:color w:val="FFFFFF"/>
                <w:sz w:val="18"/>
              </w:rPr>
              <w:t>FP</w:t>
            </w:r>
          </w:p>
        </w:tc>
        <w:tc>
          <w:tcPr>
            <w:tcW w:type="dxa" w:w="1584"/>
            <w:vAlign w:val="center"/>
            <w:tcMar>
              <w:top w:w="85" w:type="dxa"/>
              <w:bottom w:w="85" w:type="dxa"/>
              <w:left w:w="100" w:type="dxa"/>
              <w:right w:w="100" w:type="dxa"/>
            </w:tcMar>
            <w:shd w:fill="20374B"/>
          </w:tcPr>
          <w:p>
            <w:pPr>
              <w:spacing w:after="0" w:line="252" w:lineRule="auto"/>
              <w:jc w:val="center"/>
            </w:pPr>
            <w:r>
              <w:rPr>
                <w:b/>
                <w:color w:val="FFFFFF"/>
                <w:sz w:val="18"/>
              </w:rPr>
              <w:t>FN</w:t>
            </w:r>
          </w:p>
        </w:tc>
      </w:tr>
      <w:tr>
        <w:trPr>
          <w:cantSplit/>
        </w:trPr>
        <w:tc>
          <w:tcPr>
            <w:tcW w:type="dxa" w:w="1512"/>
            <w:vAlign w:val="center"/>
            <w:tcMar>
              <w:top w:w="85" w:type="dxa"/>
              <w:bottom w:w="85" w:type="dxa"/>
              <w:left w:w="100" w:type="dxa"/>
              <w:right w:w="100" w:type="dxa"/>
            </w:tcMar>
            <w:shd w:fill="F1F5F8"/>
          </w:tcPr>
          <w:p>
            <w:pPr>
              <w:spacing w:after="0" w:line="252" w:lineRule="auto"/>
              <w:jc w:val="left"/>
            </w:pPr>
            <w:r>
              <w:rPr>
                <w:b w:val="0"/>
                <w:color w:val="000000"/>
                <w:sz w:val="18"/>
              </w:rPr>
              <w:t>0.10</w:t>
            </w:r>
          </w:p>
        </w:tc>
        <w:tc>
          <w:tcPr>
            <w:tcW w:type="dxa" w:w="1656"/>
            <w:vAlign w:val="center"/>
            <w:tcMar>
              <w:top w:w="85" w:type="dxa"/>
              <w:bottom w:w="85" w:type="dxa"/>
              <w:left w:w="100" w:type="dxa"/>
              <w:right w:w="100" w:type="dxa"/>
            </w:tcMar>
            <w:shd w:fill="F1F5F8"/>
          </w:tcPr>
          <w:p>
            <w:pPr>
              <w:spacing w:after="0" w:line="252" w:lineRule="auto"/>
              <w:jc w:val="center"/>
            </w:pPr>
            <w:r>
              <w:rPr>
                <w:b w:val="0"/>
                <w:color w:val="000000"/>
                <w:sz w:val="18"/>
              </w:rPr>
              <w:t>32.16%</w:t>
            </w:r>
          </w:p>
        </w:tc>
        <w:tc>
          <w:tcPr>
            <w:tcW w:type="dxa" w:w="1656"/>
            <w:vAlign w:val="center"/>
            <w:tcMar>
              <w:top w:w="85" w:type="dxa"/>
              <w:bottom w:w="85" w:type="dxa"/>
              <w:left w:w="100" w:type="dxa"/>
              <w:right w:w="100" w:type="dxa"/>
            </w:tcMar>
            <w:shd w:fill="F1F5F8"/>
          </w:tcPr>
          <w:p>
            <w:pPr>
              <w:spacing w:after="0" w:line="252" w:lineRule="auto"/>
              <w:jc w:val="center"/>
            </w:pPr>
            <w:r>
              <w:rPr>
                <w:b w:val="0"/>
                <w:color w:val="000000"/>
                <w:sz w:val="18"/>
              </w:rPr>
              <w:t>63.26%</w:t>
            </w:r>
          </w:p>
        </w:tc>
        <w:tc>
          <w:tcPr>
            <w:tcW w:type="dxa" w:w="1656"/>
            <w:vAlign w:val="center"/>
            <w:tcMar>
              <w:top w:w="85" w:type="dxa"/>
              <w:bottom w:w="85" w:type="dxa"/>
              <w:left w:w="100" w:type="dxa"/>
              <w:right w:w="100" w:type="dxa"/>
            </w:tcMar>
            <w:shd w:fill="F1F5F8"/>
          </w:tcPr>
          <w:p>
            <w:pPr>
              <w:spacing w:after="0" w:line="252" w:lineRule="auto"/>
              <w:jc w:val="center"/>
            </w:pPr>
            <w:r>
              <w:rPr>
                <w:b w:val="0"/>
                <w:color w:val="000000"/>
                <w:sz w:val="18"/>
              </w:rPr>
              <w:t>42.64%</w:t>
            </w:r>
          </w:p>
        </w:tc>
        <w:tc>
          <w:tcPr>
            <w:tcW w:type="dxa" w:w="1584"/>
            <w:vAlign w:val="center"/>
            <w:tcMar>
              <w:top w:w="85" w:type="dxa"/>
              <w:bottom w:w="85" w:type="dxa"/>
              <w:left w:w="100" w:type="dxa"/>
              <w:right w:w="100" w:type="dxa"/>
            </w:tcMar>
            <w:shd w:fill="F1F5F8"/>
          </w:tcPr>
          <w:p>
            <w:pPr>
              <w:spacing w:after="0" w:line="252" w:lineRule="auto"/>
              <w:jc w:val="center"/>
            </w:pPr>
            <w:r>
              <w:rPr>
                <w:b w:val="0"/>
                <w:color w:val="000000"/>
                <w:sz w:val="18"/>
              </w:rPr>
              <w:t>11106</w:t>
            </w:r>
          </w:p>
        </w:tc>
        <w:tc>
          <w:tcPr>
            <w:tcW w:type="dxa" w:w="1584"/>
            <w:vAlign w:val="center"/>
            <w:tcMar>
              <w:top w:w="85" w:type="dxa"/>
              <w:bottom w:w="85" w:type="dxa"/>
              <w:left w:w="100" w:type="dxa"/>
              <w:right w:w="100" w:type="dxa"/>
            </w:tcMar>
            <w:shd w:fill="F1F5F8"/>
          </w:tcPr>
          <w:p>
            <w:pPr>
              <w:spacing w:after="0" w:line="252" w:lineRule="auto"/>
              <w:jc w:val="center"/>
            </w:pPr>
            <w:r>
              <w:rPr>
                <w:b w:val="0"/>
                <w:color w:val="000000"/>
                <w:sz w:val="18"/>
              </w:rPr>
              <w:t>3059</w:t>
            </w:r>
          </w:p>
        </w:tc>
      </w:tr>
      <w:tr>
        <w:trPr>
          <w:cantSplit/>
        </w:trPr>
        <w:tc>
          <w:tcPr>
            <w:tcW w:type="dxa" w:w="1512"/>
            <w:vAlign w:val="center"/>
            <w:tcMar>
              <w:top w:w="85" w:type="dxa"/>
              <w:bottom w:w="85" w:type="dxa"/>
              <w:left w:w="100" w:type="dxa"/>
              <w:right w:w="100" w:type="dxa"/>
            </w:tcMar>
            <w:shd w:fill="FFFFFF"/>
          </w:tcPr>
          <w:p>
            <w:pPr>
              <w:spacing w:after="0" w:line="252" w:lineRule="auto"/>
              <w:jc w:val="left"/>
            </w:pPr>
            <w:r>
              <w:rPr>
                <w:b w:val="0"/>
                <w:color w:val="000000"/>
                <w:sz w:val="18"/>
              </w:rPr>
              <w:t>0.25</w:t>
            </w:r>
          </w:p>
        </w:tc>
        <w:tc>
          <w:tcPr>
            <w:tcW w:type="dxa" w:w="1656"/>
            <w:vAlign w:val="center"/>
            <w:tcMar>
              <w:top w:w="85" w:type="dxa"/>
              <w:bottom w:w="85" w:type="dxa"/>
              <w:left w:w="100" w:type="dxa"/>
              <w:right w:w="100" w:type="dxa"/>
            </w:tcMar>
            <w:shd w:fill="FFFFFF"/>
          </w:tcPr>
          <w:p>
            <w:pPr>
              <w:spacing w:after="0" w:line="252" w:lineRule="auto"/>
              <w:jc w:val="center"/>
            </w:pPr>
            <w:r>
              <w:rPr>
                <w:b w:val="0"/>
                <w:color w:val="000000"/>
                <w:sz w:val="18"/>
              </w:rPr>
              <w:t>56.41%</w:t>
            </w:r>
          </w:p>
        </w:tc>
        <w:tc>
          <w:tcPr>
            <w:tcW w:type="dxa" w:w="1656"/>
            <w:vAlign w:val="center"/>
            <w:tcMar>
              <w:top w:w="85" w:type="dxa"/>
              <w:bottom w:w="85" w:type="dxa"/>
              <w:left w:w="100" w:type="dxa"/>
              <w:right w:w="100" w:type="dxa"/>
            </w:tcMar>
            <w:shd w:fill="FFFFFF"/>
          </w:tcPr>
          <w:p>
            <w:pPr>
              <w:spacing w:after="0" w:line="252" w:lineRule="auto"/>
              <w:jc w:val="center"/>
            </w:pPr>
            <w:r>
              <w:rPr>
                <w:b w:val="0"/>
                <w:color w:val="000000"/>
                <w:sz w:val="18"/>
              </w:rPr>
              <w:t>47.90%</w:t>
            </w:r>
          </w:p>
        </w:tc>
        <w:tc>
          <w:tcPr>
            <w:tcW w:type="dxa" w:w="1656"/>
            <w:vAlign w:val="center"/>
            <w:tcMar>
              <w:top w:w="85" w:type="dxa"/>
              <w:bottom w:w="85" w:type="dxa"/>
              <w:left w:w="100" w:type="dxa"/>
              <w:right w:w="100" w:type="dxa"/>
            </w:tcMar>
            <w:shd w:fill="FFFFFF"/>
          </w:tcPr>
          <w:p>
            <w:pPr>
              <w:spacing w:after="0" w:line="252" w:lineRule="auto"/>
              <w:jc w:val="center"/>
            </w:pPr>
            <w:r>
              <w:rPr>
                <w:b w:val="0"/>
                <w:color w:val="000000"/>
                <w:sz w:val="18"/>
              </w:rPr>
              <w:t>51.81%</w:t>
            </w:r>
          </w:p>
        </w:tc>
        <w:tc>
          <w:tcPr>
            <w:tcW w:type="dxa" w:w="1584"/>
            <w:vAlign w:val="center"/>
            <w:tcMar>
              <w:top w:w="85" w:type="dxa"/>
              <w:bottom w:w="85" w:type="dxa"/>
              <w:left w:w="100" w:type="dxa"/>
              <w:right w:w="100" w:type="dxa"/>
            </w:tcMar>
            <w:shd w:fill="FFFFFF"/>
          </w:tcPr>
          <w:p>
            <w:pPr>
              <w:spacing w:after="0" w:line="252" w:lineRule="auto"/>
              <w:jc w:val="center"/>
            </w:pPr>
            <w:r>
              <w:rPr>
                <w:b w:val="0"/>
                <w:color w:val="000000"/>
                <w:sz w:val="18"/>
              </w:rPr>
              <w:t>3082</w:t>
            </w:r>
          </w:p>
        </w:tc>
        <w:tc>
          <w:tcPr>
            <w:tcW w:type="dxa" w:w="1584"/>
            <w:vAlign w:val="center"/>
            <w:tcMar>
              <w:top w:w="85" w:type="dxa"/>
              <w:bottom w:w="85" w:type="dxa"/>
              <w:left w:w="100" w:type="dxa"/>
              <w:right w:w="100" w:type="dxa"/>
            </w:tcMar>
            <w:shd w:fill="FFFFFF"/>
          </w:tcPr>
          <w:p>
            <w:pPr>
              <w:spacing w:after="0" w:line="252" w:lineRule="auto"/>
              <w:jc w:val="center"/>
            </w:pPr>
            <w:r>
              <w:rPr>
                <w:b w:val="0"/>
                <w:color w:val="000000"/>
                <w:sz w:val="18"/>
              </w:rPr>
              <w:t>4337</w:t>
            </w:r>
          </w:p>
        </w:tc>
      </w:tr>
      <w:tr>
        <w:trPr>
          <w:cantSplit/>
        </w:trPr>
        <w:tc>
          <w:tcPr>
            <w:tcW w:type="dxa" w:w="1512"/>
            <w:vAlign w:val="center"/>
            <w:tcMar>
              <w:top w:w="85" w:type="dxa"/>
              <w:bottom w:w="85" w:type="dxa"/>
              <w:left w:w="100" w:type="dxa"/>
              <w:right w:w="100" w:type="dxa"/>
            </w:tcMar>
            <w:shd w:fill="F1F5F8"/>
          </w:tcPr>
          <w:p>
            <w:pPr>
              <w:spacing w:after="0" w:line="252" w:lineRule="auto"/>
              <w:jc w:val="left"/>
            </w:pPr>
            <w:r>
              <w:rPr>
                <w:b w:val="0"/>
                <w:color w:val="000000"/>
                <w:sz w:val="18"/>
              </w:rPr>
              <w:t>0.50</w:t>
            </w:r>
          </w:p>
        </w:tc>
        <w:tc>
          <w:tcPr>
            <w:tcW w:type="dxa" w:w="1656"/>
            <w:vAlign w:val="center"/>
            <w:tcMar>
              <w:top w:w="85" w:type="dxa"/>
              <w:bottom w:w="85" w:type="dxa"/>
              <w:left w:w="100" w:type="dxa"/>
              <w:right w:w="100" w:type="dxa"/>
            </w:tcMar>
            <w:shd w:fill="F1F5F8"/>
          </w:tcPr>
          <w:p>
            <w:pPr>
              <w:spacing w:after="0" w:line="252" w:lineRule="auto"/>
              <w:jc w:val="center"/>
            </w:pPr>
            <w:r>
              <w:rPr>
                <w:b w:val="0"/>
                <w:color w:val="000000"/>
                <w:sz w:val="18"/>
              </w:rPr>
              <w:t>79.67%</w:t>
            </w:r>
          </w:p>
        </w:tc>
        <w:tc>
          <w:tcPr>
            <w:tcW w:type="dxa" w:w="1656"/>
            <w:vAlign w:val="center"/>
            <w:tcMar>
              <w:top w:w="85" w:type="dxa"/>
              <w:bottom w:w="85" w:type="dxa"/>
              <w:left w:w="100" w:type="dxa"/>
              <w:right w:w="100" w:type="dxa"/>
            </w:tcMar>
            <w:shd w:fill="F1F5F8"/>
          </w:tcPr>
          <w:p>
            <w:pPr>
              <w:spacing w:after="0" w:line="252" w:lineRule="auto"/>
              <w:jc w:val="center"/>
            </w:pPr>
            <w:r>
              <w:rPr>
                <w:b w:val="0"/>
                <w:color w:val="000000"/>
                <w:sz w:val="18"/>
              </w:rPr>
              <w:t>26.40%</w:t>
            </w:r>
          </w:p>
        </w:tc>
        <w:tc>
          <w:tcPr>
            <w:tcW w:type="dxa" w:w="1656"/>
            <w:vAlign w:val="center"/>
            <w:tcMar>
              <w:top w:w="85" w:type="dxa"/>
              <w:bottom w:w="85" w:type="dxa"/>
              <w:left w:w="100" w:type="dxa"/>
              <w:right w:w="100" w:type="dxa"/>
            </w:tcMar>
            <w:shd w:fill="F1F5F8"/>
          </w:tcPr>
          <w:p>
            <w:pPr>
              <w:spacing w:after="0" w:line="252" w:lineRule="auto"/>
              <w:jc w:val="center"/>
            </w:pPr>
            <w:r>
              <w:rPr>
                <w:b w:val="0"/>
                <w:color w:val="000000"/>
                <w:sz w:val="18"/>
              </w:rPr>
              <w:t>39.66%</w:t>
            </w:r>
          </w:p>
        </w:tc>
        <w:tc>
          <w:tcPr>
            <w:tcW w:type="dxa" w:w="1584"/>
            <w:vAlign w:val="center"/>
            <w:tcMar>
              <w:top w:w="85" w:type="dxa"/>
              <w:bottom w:w="85" w:type="dxa"/>
              <w:left w:w="100" w:type="dxa"/>
              <w:right w:w="100" w:type="dxa"/>
            </w:tcMar>
            <w:shd w:fill="F1F5F8"/>
          </w:tcPr>
          <w:p>
            <w:pPr>
              <w:spacing w:after="0" w:line="252" w:lineRule="auto"/>
              <w:jc w:val="center"/>
            </w:pPr>
            <w:r>
              <w:rPr>
                <w:b w:val="0"/>
                <w:color w:val="000000"/>
                <w:sz w:val="18"/>
              </w:rPr>
              <w:t>561</w:t>
            </w:r>
          </w:p>
        </w:tc>
        <w:tc>
          <w:tcPr>
            <w:tcW w:type="dxa" w:w="1584"/>
            <w:vAlign w:val="center"/>
            <w:tcMar>
              <w:top w:w="85" w:type="dxa"/>
              <w:bottom w:w="85" w:type="dxa"/>
              <w:left w:w="100" w:type="dxa"/>
              <w:right w:w="100" w:type="dxa"/>
            </w:tcMar>
            <w:shd w:fill="F1F5F8"/>
          </w:tcPr>
          <w:p>
            <w:pPr>
              <w:spacing w:after="0" w:line="252" w:lineRule="auto"/>
              <w:jc w:val="center"/>
            </w:pPr>
            <w:r>
              <w:rPr>
                <w:b w:val="0"/>
                <w:color w:val="000000"/>
                <w:sz w:val="18"/>
              </w:rPr>
              <w:t>6127</w:t>
            </w:r>
          </w:p>
        </w:tc>
      </w:tr>
      <w:tr>
        <w:trPr>
          <w:cantSplit/>
        </w:trPr>
        <w:tc>
          <w:tcPr>
            <w:tcW w:type="dxa" w:w="1512"/>
            <w:vAlign w:val="center"/>
            <w:tcMar>
              <w:top w:w="85" w:type="dxa"/>
              <w:bottom w:w="85" w:type="dxa"/>
              <w:left w:w="100" w:type="dxa"/>
              <w:right w:w="100" w:type="dxa"/>
            </w:tcMar>
            <w:shd w:fill="FFFFFF"/>
          </w:tcPr>
          <w:p>
            <w:pPr>
              <w:spacing w:after="0" w:line="252" w:lineRule="auto"/>
              <w:jc w:val="left"/>
            </w:pPr>
            <w:r>
              <w:rPr>
                <w:b w:val="0"/>
                <w:color w:val="000000"/>
                <w:sz w:val="18"/>
              </w:rPr>
              <w:t>0.75</w:t>
            </w:r>
          </w:p>
        </w:tc>
        <w:tc>
          <w:tcPr>
            <w:tcW w:type="dxa" w:w="1656"/>
            <w:vAlign w:val="center"/>
            <w:tcMar>
              <w:top w:w="85" w:type="dxa"/>
              <w:bottom w:w="85" w:type="dxa"/>
              <w:left w:w="100" w:type="dxa"/>
              <w:right w:w="100" w:type="dxa"/>
            </w:tcMar>
            <w:shd w:fill="FFFFFF"/>
          </w:tcPr>
          <w:p>
            <w:pPr>
              <w:spacing w:after="0" w:line="252" w:lineRule="auto"/>
              <w:jc w:val="center"/>
            </w:pPr>
            <w:r>
              <w:rPr>
                <w:b w:val="0"/>
                <w:color w:val="000000"/>
                <w:sz w:val="18"/>
              </w:rPr>
              <w:t>91.75%</w:t>
            </w:r>
          </w:p>
        </w:tc>
        <w:tc>
          <w:tcPr>
            <w:tcW w:type="dxa" w:w="1656"/>
            <w:vAlign w:val="center"/>
            <w:tcMar>
              <w:top w:w="85" w:type="dxa"/>
              <w:bottom w:w="85" w:type="dxa"/>
              <w:left w:w="100" w:type="dxa"/>
              <w:right w:w="100" w:type="dxa"/>
            </w:tcMar>
            <w:shd w:fill="FFFFFF"/>
          </w:tcPr>
          <w:p>
            <w:pPr>
              <w:spacing w:after="0" w:line="252" w:lineRule="auto"/>
              <w:jc w:val="center"/>
            </w:pPr>
            <w:r>
              <w:rPr>
                <w:b w:val="0"/>
                <w:color w:val="000000"/>
                <w:sz w:val="18"/>
              </w:rPr>
              <w:t>6.94%</w:t>
            </w:r>
          </w:p>
        </w:tc>
        <w:tc>
          <w:tcPr>
            <w:tcW w:type="dxa" w:w="1656"/>
            <w:vAlign w:val="center"/>
            <w:tcMar>
              <w:top w:w="85" w:type="dxa"/>
              <w:bottom w:w="85" w:type="dxa"/>
              <w:left w:w="100" w:type="dxa"/>
              <w:right w:w="100" w:type="dxa"/>
            </w:tcMar>
            <w:shd w:fill="FFFFFF"/>
          </w:tcPr>
          <w:p>
            <w:pPr>
              <w:spacing w:after="0" w:line="252" w:lineRule="auto"/>
              <w:jc w:val="center"/>
            </w:pPr>
            <w:r>
              <w:rPr>
                <w:b w:val="0"/>
                <w:color w:val="000000"/>
                <w:sz w:val="18"/>
              </w:rPr>
              <w:t>12.91%</w:t>
            </w:r>
          </w:p>
        </w:tc>
        <w:tc>
          <w:tcPr>
            <w:tcW w:type="dxa" w:w="1584"/>
            <w:vAlign w:val="center"/>
            <w:tcMar>
              <w:top w:w="85" w:type="dxa"/>
              <w:bottom w:w="85" w:type="dxa"/>
              <w:left w:w="100" w:type="dxa"/>
              <w:right w:w="100" w:type="dxa"/>
            </w:tcMar>
            <w:shd w:fill="FFFFFF"/>
          </w:tcPr>
          <w:p>
            <w:pPr>
              <w:spacing w:after="0" w:line="252" w:lineRule="auto"/>
              <w:jc w:val="center"/>
            </w:pPr>
            <w:r>
              <w:rPr>
                <w:b w:val="0"/>
                <w:color w:val="000000"/>
                <w:sz w:val="18"/>
              </w:rPr>
              <w:t>52</w:t>
            </w:r>
          </w:p>
        </w:tc>
        <w:tc>
          <w:tcPr>
            <w:tcW w:type="dxa" w:w="1584"/>
            <w:vAlign w:val="center"/>
            <w:tcMar>
              <w:top w:w="85" w:type="dxa"/>
              <w:bottom w:w="85" w:type="dxa"/>
              <w:left w:w="100" w:type="dxa"/>
              <w:right w:w="100" w:type="dxa"/>
            </w:tcMar>
            <w:shd w:fill="FFFFFF"/>
          </w:tcPr>
          <w:p>
            <w:pPr>
              <w:spacing w:after="0" w:line="252" w:lineRule="auto"/>
              <w:jc w:val="center"/>
            </w:pPr>
            <w:r>
              <w:rPr>
                <w:b w:val="0"/>
                <w:color w:val="000000"/>
                <w:sz w:val="18"/>
              </w:rPr>
              <w:t>7747</w:t>
            </w:r>
          </w:p>
        </w:tc>
      </w:tr>
    </w:tbl>
    <w:p>
      <w:pPr>
        <w:spacing w:after="20"/>
      </w:pPr>
    </w:p>
    <w:p>
      <w:pPr>
        <w:pStyle w:val="Heading1"/>
      </w:pPr>
      <w:r>
        <w:t>Structural ablations not yet executed</w:t>
      </w:r>
    </w:p>
    <w:p>
      <w:r>
        <w:t>To measure a component contribution, train an independent baseline and a variant with that component removed or changed under matched data splits, training budgets and seeds. Repeating across seeds is necessary to distinguish a component effect from training variability. The following are proposed experiments, not measured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184"/>
        <w:gridCol w:w="2016"/>
      </w:tblGrid>
      <w:tr>
        <w:trPr>
          <w:tblHeader/>
          <w:cantSplit/>
        </w:trPr>
        <w:tc>
          <w:tcPr>
            <w:tcW w:type="dxa" w:w="2448"/>
            <w:vAlign w:val="center"/>
            <w:tcMar>
              <w:top w:w="85" w:type="dxa"/>
              <w:bottom w:w="85" w:type="dxa"/>
              <w:left w:w="100" w:type="dxa"/>
              <w:right w:w="100" w:type="dxa"/>
            </w:tcMar>
            <w:shd w:fill="20374B"/>
          </w:tcPr>
          <w:p>
            <w:pPr>
              <w:spacing w:after="0" w:line="252" w:lineRule="auto"/>
              <w:jc w:val="left"/>
            </w:pPr>
            <w:r>
              <w:rPr>
                <w:b/>
                <w:color w:val="FFFFFF"/>
                <w:sz w:val="18"/>
              </w:rPr>
              <w:t>Candidate experiment</w:t>
            </w:r>
          </w:p>
        </w:tc>
        <w:tc>
          <w:tcPr>
            <w:tcW w:type="dxa" w:w="5184"/>
            <w:vAlign w:val="center"/>
            <w:tcMar>
              <w:top w:w="85" w:type="dxa"/>
              <w:bottom w:w="85" w:type="dxa"/>
              <w:left w:w="100" w:type="dxa"/>
              <w:right w:w="100" w:type="dxa"/>
            </w:tcMar>
            <w:shd w:fill="20374B"/>
          </w:tcPr>
          <w:p>
            <w:pPr>
              <w:spacing w:after="0" w:line="252" w:lineRule="auto"/>
              <w:jc w:val="center"/>
            </w:pPr>
            <w:r>
              <w:rPr>
                <w:b/>
                <w:color w:val="FFFFFF"/>
                <w:sz w:val="18"/>
              </w:rPr>
              <w:t>Comparison</w:t>
            </w:r>
          </w:p>
        </w:tc>
        <w:tc>
          <w:tcPr>
            <w:tcW w:type="dxa" w:w="2016"/>
            <w:vAlign w:val="center"/>
            <w:tcMar>
              <w:top w:w="85" w:type="dxa"/>
              <w:bottom w:w="85" w:type="dxa"/>
              <w:left w:w="100" w:type="dxa"/>
              <w:right w:w="100" w:type="dxa"/>
            </w:tcMar>
            <w:shd w:fill="20374B"/>
          </w:tcPr>
          <w:p>
            <w:pPr>
              <w:spacing w:after="0" w:line="252" w:lineRule="auto"/>
              <w:jc w:val="center"/>
            </w:pPr>
            <w:r>
              <w:rPr>
                <w:b/>
                <w:color w:val="FFFFFF"/>
                <w:sz w:val="18"/>
              </w:rPr>
              <w:t>Current result</w:t>
            </w:r>
          </w:p>
        </w:tc>
      </w:tr>
      <w:tr>
        <w:trPr>
          <w:cantSplit/>
        </w:trPr>
        <w:tc>
          <w:tcPr>
            <w:tcW w:type="dxa" w:w="2448"/>
            <w:vAlign w:val="center"/>
            <w:tcMar>
              <w:top w:w="85" w:type="dxa"/>
              <w:bottom w:w="85" w:type="dxa"/>
              <w:left w:w="100" w:type="dxa"/>
              <w:right w:w="100" w:type="dxa"/>
            </w:tcMar>
            <w:shd w:fill="F1F5F8"/>
          </w:tcPr>
          <w:p>
            <w:pPr>
              <w:spacing w:after="0" w:line="252" w:lineRule="auto"/>
              <w:jc w:val="left"/>
            </w:pPr>
            <w:r>
              <w:rPr>
                <w:b w:val="0"/>
                <w:color w:val="000000"/>
                <w:sz w:val="18"/>
              </w:rPr>
              <w:t>Training augmentation</w:t>
            </w:r>
          </w:p>
        </w:tc>
        <w:tc>
          <w:tcPr>
            <w:tcW w:type="dxa" w:w="5184"/>
            <w:vAlign w:val="center"/>
            <w:tcMar>
              <w:top w:w="85" w:type="dxa"/>
              <w:bottom w:w="85" w:type="dxa"/>
              <w:left w:w="100" w:type="dxa"/>
              <w:right w:w="100" w:type="dxa"/>
            </w:tcMar>
            <w:shd w:fill="F1F5F8"/>
          </w:tcPr>
          <w:p>
            <w:pPr>
              <w:spacing w:after="0" w:line="252" w:lineRule="auto"/>
              <w:jc w:val="center"/>
            </w:pPr>
            <w:r>
              <w:rPr>
                <w:b w:val="0"/>
                <w:color w:val="000000"/>
                <w:sz w:val="18"/>
              </w:rPr>
              <w:t>Recorded recipe versus one augmentation disabled</w:t>
            </w:r>
          </w:p>
        </w:tc>
        <w:tc>
          <w:tcPr>
            <w:tcW w:type="dxa" w:w="2016"/>
            <w:vAlign w:val="center"/>
            <w:tcMar>
              <w:top w:w="85" w:type="dxa"/>
              <w:bottom w:w="85" w:type="dxa"/>
              <w:left w:w="100" w:type="dxa"/>
              <w:right w:w="100" w:type="dxa"/>
            </w:tcMar>
            <w:shd w:fill="F1F5F8"/>
          </w:tcPr>
          <w:p>
            <w:pPr>
              <w:spacing w:after="0" w:line="252" w:lineRule="auto"/>
              <w:jc w:val="center"/>
            </w:pPr>
            <w:r>
              <w:rPr>
                <w:b w:val="0"/>
                <w:color w:val="000000"/>
                <w:sz w:val="18"/>
              </w:rPr>
              <w:t>Not measured</w:t>
            </w:r>
          </w:p>
        </w:tc>
      </w:tr>
      <w:tr>
        <w:trPr>
          <w:cantSplit/>
        </w:trPr>
        <w:tc>
          <w:tcPr>
            <w:tcW w:type="dxa" w:w="2448"/>
            <w:vAlign w:val="center"/>
            <w:tcMar>
              <w:top w:w="85" w:type="dxa"/>
              <w:bottom w:w="85" w:type="dxa"/>
              <w:left w:w="100" w:type="dxa"/>
              <w:right w:w="100" w:type="dxa"/>
            </w:tcMar>
            <w:shd w:fill="FFFFFF"/>
          </w:tcPr>
          <w:p>
            <w:pPr>
              <w:spacing w:after="0" w:line="252" w:lineRule="auto"/>
              <w:jc w:val="left"/>
            </w:pPr>
            <w:r>
              <w:rPr>
                <w:b w:val="0"/>
                <w:color w:val="000000"/>
                <w:sz w:val="18"/>
              </w:rPr>
              <w:t>Input resolution</w:t>
            </w:r>
          </w:p>
        </w:tc>
        <w:tc>
          <w:tcPr>
            <w:tcW w:type="dxa" w:w="5184"/>
            <w:vAlign w:val="center"/>
            <w:tcMar>
              <w:top w:w="85" w:type="dxa"/>
              <w:bottom w:w="85" w:type="dxa"/>
              <w:left w:w="100" w:type="dxa"/>
              <w:right w:w="100" w:type="dxa"/>
            </w:tcMar>
            <w:shd w:fill="FFFFFF"/>
          </w:tcPr>
          <w:p>
            <w:pPr>
              <w:spacing w:after="0" w:line="252" w:lineRule="auto"/>
              <w:jc w:val="center"/>
            </w:pPr>
            <w:r>
              <w:rPr>
                <w:b w:val="0"/>
                <w:color w:val="000000"/>
                <w:sz w:val="18"/>
              </w:rPr>
              <w:t>512 versus another chosen training size</w:t>
            </w:r>
          </w:p>
        </w:tc>
        <w:tc>
          <w:tcPr>
            <w:tcW w:type="dxa" w:w="2016"/>
            <w:vAlign w:val="center"/>
            <w:tcMar>
              <w:top w:w="85" w:type="dxa"/>
              <w:bottom w:w="85" w:type="dxa"/>
              <w:left w:w="100" w:type="dxa"/>
              <w:right w:w="100" w:type="dxa"/>
            </w:tcMar>
            <w:shd w:fill="FFFFFF"/>
          </w:tcPr>
          <w:p>
            <w:pPr>
              <w:spacing w:after="0" w:line="252" w:lineRule="auto"/>
              <w:jc w:val="center"/>
            </w:pPr>
            <w:r>
              <w:rPr>
                <w:b w:val="0"/>
                <w:color w:val="000000"/>
                <w:sz w:val="18"/>
              </w:rPr>
              <w:t>Not measured</w:t>
            </w:r>
          </w:p>
        </w:tc>
      </w:tr>
      <w:tr>
        <w:trPr>
          <w:cantSplit/>
        </w:trPr>
        <w:tc>
          <w:tcPr>
            <w:tcW w:type="dxa" w:w="2448"/>
            <w:vAlign w:val="center"/>
            <w:tcMar>
              <w:top w:w="85" w:type="dxa"/>
              <w:bottom w:w="85" w:type="dxa"/>
              <w:left w:w="100" w:type="dxa"/>
              <w:right w:w="100" w:type="dxa"/>
            </w:tcMar>
            <w:shd w:fill="F1F5F8"/>
          </w:tcPr>
          <w:p>
            <w:pPr>
              <w:spacing w:after="0" w:line="252" w:lineRule="auto"/>
              <w:jc w:val="left"/>
            </w:pPr>
            <w:r>
              <w:rPr>
                <w:b w:val="0"/>
                <w:color w:val="000000"/>
                <w:sz w:val="18"/>
              </w:rPr>
              <w:t>Attention module</w:t>
            </w:r>
          </w:p>
        </w:tc>
        <w:tc>
          <w:tcPr>
            <w:tcW w:type="dxa" w:w="5184"/>
            <w:vAlign w:val="center"/>
            <w:tcMar>
              <w:top w:w="85" w:type="dxa"/>
              <w:bottom w:w="85" w:type="dxa"/>
              <w:left w:w="100" w:type="dxa"/>
              <w:right w:w="100" w:type="dxa"/>
            </w:tcMar>
            <w:shd w:fill="F1F5F8"/>
          </w:tcPr>
          <w:p>
            <w:pPr>
              <w:spacing w:after="0" w:line="252" w:lineRule="auto"/>
              <w:jc w:val="center"/>
            </w:pPr>
            <w:r>
              <w:rPr>
                <w:b w:val="0"/>
                <w:color w:val="000000"/>
                <w:sz w:val="18"/>
              </w:rPr>
              <w:t>Standard YOLO11n versus a validated architecture without the selected module</w:t>
            </w:r>
          </w:p>
        </w:tc>
        <w:tc>
          <w:tcPr>
            <w:tcW w:type="dxa" w:w="2016"/>
            <w:vAlign w:val="center"/>
            <w:tcMar>
              <w:top w:w="85" w:type="dxa"/>
              <w:bottom w:w="85" w:type="dxa"/>
              <w:left w:w="100" w:type="dxa"/>
              <w:right w:w="100" w:type="dxa"/>
            </w:tcMar>
            <w:shd w:fill="F1F5F8"/>
          </w:tcPr>
          <w:p>
            <w:pPr>
              <w:spacing w:after="0" w:line="252" w:lineRule="auto"/>
              <w:jc w:val="center"/>
            </w:pPr>
            <w:r>
              <w:rPr>
                <w:b w:val="0"/>
                <w:color w:val="000000"/>
                <w:sz w:val="18"/>
              </w:rPr>
              <w:t>Not measured</w:t>
            </w:r>
          </w:p>
        </w:tc>
      </w:tr>
      <w:tr>
        <w:trPr>
          <w:cantSplit/>
        </w:trPr>
        <w:tc>
          <w:tcPr>
            <w:tcW w:type="dxa" w:w="2448"/>
            <w:vAlign w:val="center"/>
            <w:tcMar>
              <w:top w:w="85" w:type="dxa"/>
              <w:bottom w:w="85" w:type="dxa"/>
              <w:left w:w="100" w:type="dxa"/>
              <w:right w:w="100" w:type="dxa"/>
            </w:tcMar>
            <w:shd w:fill="FFFFFF"/>
          </w:tcPr>
          <w:p>
            <w:pPr>
              <w:spacing w:after="0" w:line="252" w:lineRule="auto"/>
              <w:jc w:val="left"/>
            </w:pPr>
            <w:r>
              <w:rPr>
                <w:b w:val="0"/>
                <w:color w:val="000000"/>
                <w:sz w:val="18"/>
              </w:rPr>
              <w:t>Background sampling</w:t>
            </w:r>
          </w:p>
        </w:tc>
        <w:tc>
          <w:tcPr>
            <w:tcW w:type="dxa" w:w="5184"/>
            <w:vAlign w:val="center"/>
            <w:tcMar>
              <w:top w:w="85" w:type="dxa"/>
              <w:bottom w:w="85" w:type="dxa"/>
              <w:left w:w="100" w:type="dxa"/>
              <w:right w:w="100" w:type="dxa"/>
            </w:tcMar>
            <w:shd w:fill="FFFFFF"/>
          </w:tcPr>
          <w:p>
            <w:pPr>
              <w:spacing w:after="0" w:line="252" w:lineRule="auto"/>
              <w:jc w:val="center"/>
            </w:pPr>
            <w:r>
              <w:rPr>
                <w:b w:val="0"/>
                <w:color w:val="000000"/>
                <w:sz w:val="18"/>
              </w:rPr>
              <w:t>Current pruning versus a defined alternative training distribution</w:t>
            </w:r>
          </w:p>
        </w:tc>
        <w:tc>
          <w:tcPr>
            <w:tcW w:type="dxa" w:w="2016"/>
            <w:vAlign w:val="center"/>
            <w:tcMar>
              <w:top w:w="85" w:type="dxa"/>
              <w:bottom w:w="85" w:type="dxa"/>
              <w:left w:w="100" w:type="dxa"/>
              <w:right w:w="100" w:type="dxa"/>
            </w:tcMar>
            <w:shd w:fill="FFFFFF"/>
          </w:tcPr>
          <w:p>
            <w:pPr>
              <w:spacing w:after="0" w:line="252" w:lineRule="auto"/>
              <w:jc w:val="center"/>
            </w:pPr>
            <w:r>
              <w:rPr>
                <w:b w:val="0"/>
                <w:color w:val="000000"/>
                <w:sz w:val="18"/>
              </w:rPr>
              <w:t>Not measured</w:t>
            </w:r>
          </w:p>
        </w:tc>
      </w:tr>
    </w:tbl>
    <w:p>
      <w:pPr>
        <w:spacing w:after="20"/>
      </w:pPr>
    </w:p>
    <w:p>
      <w:r>
        <w:t>Each variant should be tuned on validation data and evaluated on the same untouched real-image test set. Report class AP, precision, recall, F1, parameter count and latency with the same hardware and measurement boundaries. Do not substitute inference-time corruption results for module-removal results.</w:t>
      </w:r>
    </w:p>
    <w:p>
      <w:pPr>
        <w:pStyle w:val="Heading2"/>
      </w:pPr>
      <w:r>
        <w:t>References and evidence</w:t>
      </w:r>
    </w:p>
    <w:p>
      <w:r>
        <w:t>[1] CDAO Assessment and Assurance. Test and Evaluation of Artificial Intelligence Models. April 2024. Printed pages 12 20 22 23 and 45 to 46; the PDF page number is one greater than the printed number.</w:t>
      </w:r>
    </w:p>
    <w:p>
      <w:r>
        <w:t>[2] Gopher AI evaluation executed on 15 October 2026. Evidence files: extended_results.json and analysis.json. The Testing Methodology report defines the full dataset and operating point. The XAI report contains the separate occlusion probe.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40"/>
      <w:contextualSpacing/>
    </w:pPr>
    <w:rPr>
      <w:rFonts w:asciiTheme="majorHAnsi" w:eastAsiaTheme="majorEastAsia" w:hAnsiTheme="majorHAnsi" w:cstheme="majorBidi" w:ascii="Arial" w:hAnsi="Arial"/>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rial" w:hAnsi="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Gopher AI Ablation and Sensitivity Report</dc:title>
  <dc:subject>Gopher AI evaluation for CB.SC.U4CSE23022</dc:subject>
  <dc:creator>Eswara Raj M</dc:creator>
  <cp:keywords/>
  <dc:description>generated by python-docx</dc:description>
  <cp:lastModifiedBy/>
  <cp:revision>1</cp:revision>
  <dcterms:created xsi:type="dcterms:W3CDTF">2013-12-23T23:15:00Z</dcterms:created>
  <dcterms:modified xsi:type="dcterms:W3CDTF">2013-12-23T23:15:00Z</dcterms:modified>
  <cp:category/>
</cp:coreProperties>
</file>