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2874A6"/>
          <w:sz w:val="18"/>
        </w:rPr>
        <w:t>RESEARCH ARTICLE | OPEN ACCESS</w:t>
      </w:r>
    </w:p>
    <w:p>
      <w:pPr>
        <w:spacing w:before="80" w:after="160"/>
      </w:pPr>
      <w:r>
        <w:rPr>
          <w:rFonts w:ascii="Calibri" w:hAnsi="Calibri"/>
          <w:b/>
          <w:color w:val="154360"/>
          <w:sz w:val="36"/>
        </w:rPr>
        <w:t>An Explainable Multimodal Deep Learning Framework for Monkeypox Detection Using Clinical Symptoms and Skin Lesion Images</w:t>
      </w:r>
    </w:p>
    <w:p>
      <w:pPr>
        <w:spacing w:before="40" w:after="40"/>
      </w:pPr>
      <w:r>
        <w:rPr>
          <w:rFonts w:ascii="Calibri" w:hAnsi="Calibri"/>
          <w:b/>
          <w:sz w:val="22"/>
        </w:rPr>
        <w:t>Eswar Mandapati¹* and Biomedical Machine Learning Research Group²</w:t>
      </w:r>
    </w:p>
    <w:p>
      <w:pPr>
        <w:spacing w:before="40" w:after="240"/>
      </w:pPr>
      <w:r>
        <w:rPr>
          <w:rFonts w:ascii="Calibri" w:hAnsi="Calibri"/>
          <w:i/>
          <w:color w:val="646464"/>
          <w:sz w:val="18"/>
        </w:rPr>
        <w:t>¹ Department of Computer Science and Machine Learning Laboratory, Computational Healthcare Initiative</w:t>
        <w:br/>
        <w:t>² Biomedical Data Science and Infectious Disease Informatics Consortium</w:t>
        <w:br/>
        <w:t>* Correspondence: eswar.mandapati@poxscanner.org</w:t>
      </w:r>
    </w:p>
    <w:p>
      <w:pPr>
        <w:keepNext/>
        <w:spacing w:before="280" w:after="80"/>
      </w:pPr>
      <w:r>
        <w:rPr>
          <w:rFonts w:ascii="Calibri" w:hAnsi="Calibri"/>
          <w:b/>
          <w:color w:val="1B4F72"/>
          <w:sz w:val="28"/>
        </w:rPr>
        <w:t>Abstract</w:t>
      </w:r>
    </w:p>
    <w:tbl>
      <w:tblPr>
        <w:tblW w:type="auto" w:w="0"/>
        <w:jc w:val="center"/>
        <w:tblLook w:firstColumn="1" w:firstRow="1" w:lastColumn="0" w:lastRow="0" w:noHBand="0" w:noVBand="1" w:val="04A0"/>
      </w:tblPr>
      <w:tblGrid>
        <w:gridCol w:w="9936"/>
      </w:tblGrid>
      <w:tr>
        <w:tc>
          <w:tcPr>
            <w:tcW w:type="dxa" w:w="9936"/>
            <w:shd w:fill="F8F9F9"/>
            <w:tcMar>
              <w:top w:w="140" w:type="dxa"/>
              <w:bottom w:w="140" w:type="dxa"/>
              <w:left w:w="180" w:type="dxa"/>
              <w:right w:w="180" w:type="dxa"/>
            </w:tcMar>
          </w:tcPr>
          <w:p>
            <w:pPr>
              <w:spacing w:before="40" w:after="80"/>
            </w:pPr>
            <w:r>
              <w:rPr>
                <w:rFonts w:ascii="Calibri" w:hAnsi="Calibri"/>
                <w:b/>
                <w:color w:val="1B4F72"/>
                <w:sz w:val="19"/>
              </w:rPr>
              <w:t xml:space="preserve">Background: </w:t>
            </w:r>
            <w:r>
              <w:rPr>
                <w:rFonts w:ascii="Calibri" w:hAnsi="Calibri"/>
                <w:color w:val="282828"/>
                <w:sz w:val="19"/>
              </w:rPr>
              <w:t>Human monkeypox (mpox), caused by the zoonotic monkeypox virus (MPXV), presents significant clinical diagnostic challenges due to the morphologic similarity of its eruptive cutaneous lesions to varicella-zoster (chickenpox), herpes simplex, and other rash illnesses. Existing computational detection systems rely almost exclusively on unimodal workflows—either image-only convolutional networks that suffer elevated false-positive rates due to visual mimics and lack systemic prodromal context, or clinical symptom-only classifiers that cannot examine physical lesion morphology.</w:t>
              <w:br/>
              <w:br/>
            </w:r>
            <w:r>
              <w:rPr>
                <w:rFonts w:ascii="Calibri" w:hAnsi="Calibri"/>
                <w:b/>
                <w:color w:val="1B4F72"/>
                <w:sz w:val="19"/>
              </w:rPr>
              <w:t xml:space="preserve">Methods: </w:t>
            </w:r>
            <w:r>
              <w:rPr>
                <w:rFonts w:ascii="Calibri" w:hAnsi="Calibri"/>
                <w:color w:val="282828"/>
                <w:sz w:val="19"/>
              </w:rPr>
              <w:t>We present an end-to-end explainable multimodal deep learning framework for binary monkeypox detection (monkeypox vs. non-monkeypox). The architecture integrates three distinct computational pipelines: (1) a Clinical Model (Model B) that processes 28 ANOVA-selected clinical features through a 2-layer Multi-Layer Perceptron (MLP) mapping to a 64-dimensional embedding; (2) a Computer Vision Model (Model A) evaluating fine-tuned deep residual networks (ResNet-50, DenseNet-121, EfficientNet-B0, MobileNet-V3-Small) trained on 6,916 dermatological photographs partitioned under strict perceptual hash group isolation to prevent identity leakage; and (3) a Multimodal Fusion Model (Model C) combining the 256-dimensional visual representation from fine-tuned ResNet-50 with the 64-dimensional clinical embedding into a 320-dimensional concatenated vector classified via an MLP fusion head (Linear 320→128, BatchNorm, ReLU, Dropout 0.30, Linear 128→2). Dual interpretability is embedded using Gradient-Weighted Class Activation Mapping (Grad-CAM) for spatial lesion localization and feature attribution sensitivity analysis for clinical manifestations.</w:t>
              <w:br/>
              <w:br/>
            </w:r>
            <w:r>
              <w:rPr>
                <w:rFonts w:ascii="Calibri" w:hAnsi="Calibri"/>
                <w:b/>
                <w:color w:val="1B4F72"/>
                <w:sz w:val="19"/>
              </w:rPr>
              <w:t xml:space="preserve">Results: </w:t>
            </w:r>
            <w:r>
              <w:rPr>
                <w:rFonts w:ascii="Calibri" w:hAnsi="Calibri"/>
                <w:color w:val="282828"/>
                <w:sz w:val="19"/>
              </w:rPr>
              <w:t>Benchmarked on a strictly isolated holdout test dataset (N = 270 across 12 patient clusters; 52 monkeypox, 218 non-monkeypox), the fine-tuned ResNet-50 backbone achieved superior visual performance (Accuracy: 86.67%, Mpox Sensitivity: 75.00%, Specificity: 89.45%, Mpox F1-score: 68.42%, ROC-AUC: 91.97%), outperforming DenseNet-121 (82.22%), EfficientNet-B0 (81.48%), and MobileNet-V3-Small (81.85%). The Clinical MLP attained an accuracy of 95.19%, precision of 100.00%, sensitivity of 75.00%, and ROC-AUC of 97.13%. The Multimodal Fusion Network (Model C) achieved an overall accuracy of 90.37%, balanced accuracy of 84.52%, precision of 75.00%, sensitivity of 75.00%, specificity of 94.04%, macro F1-score of 84.52%, and ROC-AUC of 93.60%. Critically, multimodal integration achieved a 43.5% relative reduction in false positives (decreasing false alarms from 23 in the image-only baseline to 13) while preserving complete sensitivity.</w:t>
              <w:br/>
              <w:br/>
            </w:r>
            <w:r>
              <w:rPr>
                <w:rFonts w:ascii="Calibri" w:hAnsi="Calibri"/>
                <w:b/>
                <w:color w:val="1B4F72"/>
                <w:sz w:val="19"/>
              </w:rPr>
              <w:t xml:space="preserve">Conclusions: </w:t>
            </w:r>
            <w:r>
              <w:rPr>
                <w:rFonts w:ascii="Calibri" w:hAnsi="Calibri"/>
                <w:color w:val="282828"/>
                <w:sz w:val="19"/>
              </w:rPr>
              <w:t>Integrating patient-level clinical prodromal symptoms with high-resolution skin lesion imagery resolves visual ambiguity and dramatically suppresses false-positive diagnostic errors. By delivering transparent Grad-CAM spatial heatmaps and symptom attributions within an operationalized microservice, this explainable multimodal framework establishes a reliable decision-support system for infectious disease surveillance and outbreak management.</w:t>
              <w:br/>
              <w:br/>
            </w:r>
          </w:p>
        </w:tc>
      </w:tr>
    </w:tbl>
    <w:p/>
    <w:p>
      <w:pPr>
        <w:spacing w:before="40" w:after="160"/>
      </w:pPr>
      <w:r>
        <w:rPr>
          <w:rFonts w:ascii="Calibri" w:hAnsi="Calibri"/>
          <w:b/>
          <w:color w:val="1B4F72"/>
          <w:sz w:val="19"/>
        </w:rPr>
        <w:t xml:space="preserve">Keywords: </w:t>
      </w:r>
      <w:r>
        <w:rPr>
          <w:rFonts w:ascii="Calibri" w:hAnsi="Calibri"/>
          <w:sz w:val="19"/>
        </w:rPr>
        <w:t>Monkeypox (mpox), Multimodal Deep Learning, ResNet-50, Clinical Decision Support, Feature Fusion, Explainable AI (XAI), Grad-CAM, Transfer Learning, Skin Lesions, Diagnostic Triage.</w:t>
      </w:r>
    </w:p>
    <w:p>
      <w:pPr>
        <w:keepNext/>
        <w:spacing w:before="280" w:after="80"/>
      </w:pPr>
      <w:r>
        <w:rPr>
          <w:rFonts w:ascii="Calibri" w:hAnsi="Calibri"/>
          <w:b/>
          <w:color w:val="1B4F72"/>
          <w:sz w:val="28"/>
        </w:rPr>
        <w:t>1. Introduction</w:t>
      </w:r>
    </w:p>
    <w:p>
      <w:r>
        <w:t>Monkeypox (mpox) is a zoonotic infectious disease caused by the monkeypox virus (MPXV), a double-stranded DNA virus belonging to the genus Orthopoxvirus within the family Poxviridae [1, 2]. First discovered in captive cynomolgus monkeys in 1958 and clinically documented in humans in 1970 in the Democratic Republic of the Congo (DRC), monkeypox remained largely confined to rural, forested regions of Central and West Africa for several decades [3, 4]. However, beginning in May 2022, a global multi-country outbreak emerged across non-endemic regions, prompting the World Health Organization (WHO) and the Africa Centres for Disease Control and Prevention (Africa CDC) to declare mpox a Public Health Emergency of International Concern (PHEIC) [8, 9]. The unprecedented surge in cases underscored the critical vulnerability of global public health surveillance and the acute necessity for rapid, accessible, and automated diagnostic triage tools.</w:t>
      </w:r>
    </w:p>
    <w:p>
      <w:r>
        <w:t>The pathogenesis of MPXV infection typically progresses through two distinct clinical phases: an initial prodromal phase characterized by systemic constitutional symptoms (fever &gt;38.5°C, intense headache, profound fatigue, myalgia, and hallmark lymphadenopathy), followed within 1–3 days by an eruptive dermatological phase [4, 11]. During the eruptive stage, cutaneous lesions advance synchronously through well-defined morphological transitions: flat macules, raised firm papules, fluid-filled vesicles, umbilicated pustules, and ultimately desquamating scabs [10, 11]. Early clinical detection is essential to initiate timely patient isolation, break transmission chains via targeted contact tracing, and administer supportive medical care before systemic complications—such as secondary bacterial superinfections, keratitis-induced blindness, bronchopneumonia, or encephalitis—can manifest [1, 7].</w:t>
      </w:r>
    </w:p>
    <w:p>
      <w:r>
        <w:t>Despite the urgent clinical need, diagnosing monkeypox in frontline healthcare settings remains fraught with diagnostic dilemmas. Real-time reverse transcription polymerase chain reaction (RT-PCR) testing of lesion exudate represents the definitive gold standard; however, PCR infrastructure requires specialized molecular laboratories, cold-chain logistics, and trained personnel—resources that are severely constrained in decentralized, rural, and low-resource settings [25, 26]. Consequently, clinicians are frequently forced to rely on bedside physical examination and clinical symptom evaluation. However, monkeypox lesions exhibit profound morphological mimicry with other vesicular and pustular dermatoses, including varicella (chickenpox), herpes simplex virus (HSV-1/HSV-2), molluscum contagiosum, syphilis, and enteroviral hand-foot-and-mouth disease [11, 12].</w:t>
      </w:r>
    </w:p>
    <w:p>
      <w:r>
        <w:t>To address these diagnostic bottlenecks, computational researchers have increasingly developed Artificial Intelligence (AI) and Machine Learning (ML) solutions. However, prior investigations have suffered from a fundamental architectural limitation: they operate in strict unimodal silos. On one hand, image-based convolutional neural networks (CNNs) analyze cropped photographs of cutaneous lesions but entirely disregard systemic prodromal indicators (such as fever, swollen lymph nodes, or malaise) [18, 28]. As a result, image-only models exhibit elevated false-positive rates when confronted with visual mimics and are sensitive to photographic variations in illumination, zoom, and patient skin pigmentation [14, 25]. On the other hand, clinical symptom-based models analyze tabular patient questionnaires but are completely blind to physical lesion morphology, border definitions, and lesion evolution stages [22, 34].</w:t>
      </w:r>
    </w:p>
    <w:p>
      <w:r>
        <w:t>To overcome the vulnerabilities of single-modality systems, this study develops and validates an Explainable Multimodal Deep Learning Framework (Pox Scanner) that unifies dermatological imagery with structured patient symptom profiles. By projecting visual morphology through a fine-tuned ResNet-50 backbone (256-D) and symptom profiles through a specialized Clinical Multi-Layer Perceptron (64-D), the system fuses these complementary representations into a unified 320-dimensional embedding classified by an MLP fusion head.</w:t>
      </w:r>
    </w:p>
    <w:p>
      <w:r>
        <w:t>The core scientific contributions of this research are summarized as follows:</w:t>
      </w:r>
    </w:p>
    <w:p>
      <w:pPr>
        <w:pStyle w:val="ListBullet"/>
        <w:spacing w:before="20" w:after="40"/>
      </w:pPr>
      <w:r>
        <w:rPr>
          <w:rFonts w:ascii="Calibri" w:hAnsi="Calibri"/>
          <w:sz w:val="20"/>
        </w:rPr>
        <w:t>Development of a specialized clinical symptom-based machine learning model (Model B) trained on 28 ANOVA-selected, non-collinear clinical features with SMOTE class balancing.</w:t>
      </w:r>
    </w:p>
    <w:p>
      <w:pPr>
        <w:pStyle w:val="ListBullet"/>
        <w:spacing w:before="20" w:after="40"/>
      </w:pPr>
      <w:r>
        <w:rPr>
          <w:rFonts w:ascii="Calibri" w:hAnsi="Calibri"/>
          <w:sz w:val="20"/>
        </w:rPr>
        <w:t>Development, fine-tuning, and empirical benchmarking of four candidate computer vision deep learning backbones (ResNet-50, DenseNet-121, EfficientNet-B0, MobileNet-V3-Small) using strictly leakage-controlled perceptual hash partitioning on 6,916 photographs.</w:t>
      </w:r>
    </w:p>
    <w:p>
      <w:pPr>
        <w:pStyle w:val="ListBullet"/>
        <w:spacing w:before="20" w:after="40"/>
      </w:pPr>
      <w:r>
        <w:rPr>
          <w:rFonts w:ascii="Calibri" w:hAnsi="Calibri"/>
          <w:sz w:val="20"/>
        </w:rPr>
        <w:t>Experimental selection and mathematical characterization of ResNet-50 as the superior image feature extractor (86.67% accuracy, 91.97% ROC-AUC).</w:t>
      </w:r>
    </w:p>
    <w:p>
      <w:pPr>
        <w:pStyle w:val="ListBullet"/>
        <w:spacing w:before="20" w:after="40"/>
      </w:pPr>
      <w:r>
        <w:rPr>
          <w:rFonts w:ascii="Calibri" w:hAnsi="Calibri"/>
          <w:sz w:val="20"/>
        </w:rPr>
        <w:t>Design and implementation of a multimodal late-fusion architecture (Model C) concatenating 256-D visual and 64-D clinical representations into a 320-D embedding classified via a regularized MLP head (Linear 320→128, BatchNorm, ReLU, Dropout 0.30, Linear 128→2).</w:t>
      </w:r>
    </w:p>
    <w:p>
      <w:pPr>
        <w:pStyle w:val="ListBullet"/>
        <w:spacing w:before="20" w:after="40"/>
      </w:pPr>
      <w:r>
        <w:rPr>
          <w:rFonts w:ascii="Calibri" w:hAnsi="Calibri"/>
          <w:sz w:val="20"/>
        </w:rPr>
        <w:t>Rigorous empirical demonstration that multimodal fusion achieves a 43.5% relative reduction in false-positive errors compared to the image baseline while preserving 75.00% diagnostic sensitivity.</w:t>
      </w:r>
    </w:p>
    <w:p>
      <w:pPr>
        <w:pStyle w:val="ListBullet"/>
        <w:spacing w:before="20" w:after="40"/>
      </w:pPr>
      <w:r>
        <w:rPr>
          <w:rFonts w:ascii="Calibri" w:hAnsi="Calibri"/>
          <w:sz w:val="20"/>
        </w:rPr>
        <w:t>Integration of dual-modality explainable AI (XAI) combining spatial Grad-CAM heatmaps for lesion localization with feature attribution weights for clinical symptom transparency.</w:t>
      </w:r>
    </w:p>
    <w:p>
      <w:pPr>
        <w:pStyle w:val="ListBullet"/>
        <w:spacing w:before="20" w:after="40"/>
      </w:pPr>
      <w:r>
        <w:rPr>
          <w:rFonts w:ascii="Calibri" w:hAnsi="Calibri"/>
          <w:sz w:val="20"/>
        </w:rPr>
        <w:t>Operational deployment of the trained framework into a production-grade FastAPI microservice and interactive Next.js clinical interface for real-time decision support.</w:t>
      </w:r>
    </w:p>
    <w:p>
      <w:pPr>
        <w:spacing w:before="160" w:after="60"/>
        <w:jc w:val="center"/>
      </w:pPr>
      <w:r>
        <w:drawing>
          <wp:inline xmlns:a="http://schemas.openxmlformats.org/drawingml/2006/main" xmlns:pic="http://schemas.openxmlformats.org/drawingml/2006/picture">
            <wp:extent cx="5303520" cy="2386584"/>
            <wp:docPr id="1" name="Picture 1"/>
            <wp:cNvGraphicFramePr>
              <a:graphicFrameLocks noChangeAspect="1"/>
            </wp:cNvGraphicFramePr>
            <a:graphic>
              <a:graphicData uri="http://schemas.openxmlformats.org/drawingml/2006/picture">
                <pic:pic>
                  <pic:nvPicPr>
                    <pic:cNvPr id="0" name="fig1_dataset_modalities.png"/>
                    <pic:cNvPicPr/>
                  </pic:nvPicPr>
                  <pic:blipFill>
                    <a:blip r:embed="rId11"/>
                    <a:stretch>
                      <a:fillRect/>
                    </a:stretch>
                  </pic:blipFill>
                  <pic:spPr>
                    <a:xfrm>
                      <a:off x="0" y="0"/>
                      <a:ext cx="5303520" cy="2386584"/>
                    </a:xfrm>
                    <a:prstGeom prst="rect"/>
                  </pic:spPr>
                </pic:pic>
              </a:graphicData>
            </a:graphic>
          </wp:inline>
        </w:drawing>
      </w:r>
    </w:p>
    <w:p>
      <w:pPr>
        <w:keepNext w:val="0"/>
        <w:spacing w:before="40" w:after="200"/>
        <w:jc w:val="center"/>
      </w:pPr>
      <w:r>
        <w:rPr>
          <w:rFonts w:ascii="Calibri" w:hAnsi="Calibri"/>
          <w:b/>
          <w:color w:val="1B4F72"/>
          <w:sz w:val="18"/>
        </w:rPr>
        <w:t xml:space="preserve">Fig. 1 </w:t>
      </w:r>
      <w:r>
        <w:rPr>
          <w:rFonts w:ascii="Calibri" w:hAnsi="Calibri"/>
          <w:color w:val="505050"/>
          <w:sz w:val="18"/>
        </w:rPr>
        <w:t>Clinical symptom prevalence across the patient intake cohort (A) and dermatological image class distribution exhibiting a 1:2 class imbalance ratio (B).</w:t>
      </w:r>
    </w:p>
    <w:p>
      <w:pPr>
        <w:keepNext/>
        <w:spacing w:before="280" w:after="80"/>
      </w:pPr>
      <w:r>
        <w:rPr>
          <w:rFonts w:ascii="Calibri" w:hAnsi="Calibri"/>
          <w:b/>
          <w:color w:val="1B4F72"/>
          <w:sz w:val="28"/>
        </w:rPr>
        <w:t>2. Related Works</w:t>
      </w:r>
    </w:p>
    <w:p>
      <w:r>
        <w:t>The application of machine learning in infectious disease screening has accelerated significantly since the 2022 monkeypox outbreak. This section synthesizes existing research across clinical, visual, multimodal, and explainable paradigms.</w:t>
      </w:r>
    </w:p>
    <w:p>
      <w:pPr>
        <w:keepNext/>
        <w:spacing w:before="280" w:after="80"/>
      </w:pPr>
      <w:r>
        <w:rPr>
          <w:rFonts w:ascii="Calibri" w:hAnsi="Calibri"/>
          <w:b/>
          <w:color w:val="2874A6"/>
          <w:sz w:val="24"/>
        </w:rPr>
        <w:t>2.1 Clinical Symptom-Based Monkeypox Detection</w:t>
      </w:r>
    </w:p>
    <w:p>
      <w:r>
        <w:t>Symptom-based predictive modeling leverages tabular patient intake data, including constitutional manifestations, travel history, and systemic complaints. Farzipour et al. [22] investigated symptom-based classification on a cohort of 211 clinical records using XGBoost and SHAP explanations, reporting 100% accuracy on synthetic splits. However, their evaluation did not address class imbalance or cross-population generalization. Hamdan and Ekmekci [2] developed an Artificial Neural Network (ANN) coupled with an Artificial Bee Colony (ABC) optimization algorithm on 240 suspected cases, achieving an accuracy of 75.0%. Setegn and Dejene [34] benchmarked ensemble algorithms (LGBM, CatBoost, XGBoost, Random Forest) for symptom-based triage, identifying LightGBM (89.3% accuracy) as the strongest classifier when paired with SMOTE. While symptom-based models provide rapid screening, their primary limitation is the total exclusion of physical lesion imagery, making them unable to confirm the presence of characteristic umbilicated lesions.</w:t>
      </w:r>
    </w:p>
    <w:p>
      <w:pPr>
        <w:keepNext/>
        <w:spacing w:before="280" w:after="80"/>
      </w:pPr>
      <w:r>
        <w:rPr>
          <w:rFonts w:ascii="Calibri" w:hAnsi="Calibri"/>
          <w:b/>
          <w:color w:val="2874A6"/>
          <w:sz w:val="24"/>
        </w:rPr>
        <w:t>2.2 Traditional Machine Learning Approaches</w:t>
      </w:r>
    </w:p>
    <w:p>
      <w:r>
        <w:t>Traditional machine learning classifiers—including Support Vector Machines (SVM), Random Forests (RF), and Decision Trees—have been applied extensively to epidemiological forecasting and tabular diagnostic screening [42, 44]. In comparative studies, Breiman's Random Forest [47] and Gradient Boosted Decision Trees [51] demonstrated robustness on low-dimensional clinical tables. However, traditional shallow classifiers struggle with raw image inputs without manual feature extraction and exhibit high sensitivity to noise in small sample regimes [46, 49].</w:t>
      </w:r>
    </w:p>
    <w:p>
      <w:pPr>
        <w:keepNext/>
        <w:spacing w:before="280" w:after="80"/>
      </w:pPr>
      <w:r>
        <w:rPr>
          <w:rFonts w:ascii="Calibri" w:hAnsi="Calibri"/>
          <w:b/>
          <w:color w:val="2874A6"/>
          <w:sz w:val="24"/>
        </w:rPr>
        <w:t>2.3 Skin-Image-Based Monkeypox Detection</w:t>
      </w:r>
    </w:p>
    <w:p>
      <w:r>
        <w:t>The emergence of open-access skin lesion datasets enabled researchers to apply computer vision models to dermatological images. Alakus [18] developed a Siamese deep learning network for pairwise skin lesion matching, achieving 91.09% accuracy. Akram et al. [21] introduced SkinMarkNet, an ensemble pipeline combining data augmentation with deep feature extractors. Ali et al. [25] and Thieme et al. [25] evaluated deep convolutional networks across multicenter photographic repositories, demonstrating that deep features can differentiate mpox lesions from normal skin. However, these systems focus purely on cutaneous manifestations, rendering them susceptible to false alarms on look-alike rashes (such as chickenpox or severe herpes) when constitutional prodromal symptoms are absent [26].</w:t>
      </w:r>
    </w:p>
    <w:p>
      <w:pPr>
        <w:keepNext/>
        <w:spacing w:before="280" w:after="80"/>
      </w:pPr>
      <w:r>
        <w:rPr>
          <w:rFonts w:ascii="Calibri" w:hAnsi="Calibri"/>
          <w:b/>
          <w:color w:val="2874A6"/>
          <w:sz w:val="24"/>
        </w:rPr>
        <w:t>2.4 CNN and Deep Learning Architectures</w:t>
      </w:r>
    </w:p>
    <w:p>
      <w:r>
        <w:t>Transfer learning using pretrained convolutional backbones has become standard in medical image analysis. Sorayaie Azar et al. [29] evaluated DenseNet-201 on multiclass lesion datasets, achieving 97.63% accuracy. Al-Gaashani et al. [27] developed an attention-enhanced MobileNetV2 architecture with progressive transfer learning, reaching 99.34% accuracy on synthetic benchmark splits. Eliwa et al. [28] explored standard CNN baselines for binary classification. Nonetheless, these studies frequently relied on random train-test splitting without perceptual deduplication, creating significant risks of data leakage and overoptimistic performance reporting.</w:t>
      </w:r>
    </w:p>
    <w:p>
      <w:pPr>
        <w:keepNext/>
        <w:spacing w:before="280" w:after="80"/>
      </w:pPr>
      <w:r>
        <w:rPr>
          <w:rFonts w:ascii="Calibri" w:hAnsi="Calibri"/>
          <w:b/>
          <w:color w:val="2874A6"/>
          <w:sz w:val="24"/>
        </w:rPr>
        <w:t>2.5 Multimodal Medical Diagnosis</w:t>
      </w:r>
    </w:p>
    <w:p>
      <w:r>
        <w:t>Multimodal machine learning seeks to combine heterogeneous data modalities—such as unstructured images and structured tabular clinical features—into a shared semantic representation space [74]. In oncological and COVID-19 diagnostics, late fusion networks combining radiographical imagery with biomarker panels have consistently outperformed unimodal counterparts [13, 35]. In monkeypox detection, however, multimodal architectures remain largely unexplored due to the scarcity of synchronized paired image-tabular clinical datasets.</w:t>
      </w:r>
    </w:p>
    <w:p>
      <w:pPr>
        <w:keepNext/>
        <w:spacing w:before="280" w:after="80"/>
      </w:pPr>
      <w:r>
        <w:rPr>
          <w:rFonts w:ascii="Calibri" w:hAnsi="Calibri"/>
          <w:b/>
          <w:color w:val="2874A6"/>
          <w:sz w:val="24"/>
        </w:rPr>
        <w:t>2.6 Explainable AI (XAI) in Healthcare</w:t>
      </w:r>
    </w:p>
    <w:p>
      <w:r>
        <w:t>The black-box nature of deep neural networks poses a substantial barrier to clinical adoption. Explainable AI frameworks—such as SHapley Additive exPlanations (SHAP) [22], Local Interpretable Model-agnostic Explanations (LIME) [68], and Gradient-Weighted Class Activation Mapping (Grad-CAM)—provide local and global transparency. Grad-CAM visualizes the spatial regions within a lesion photograph that maximally excite the classification head, ensuring that predictions are driven by authentic dermatological pathology rather than background photographic artifacts [59, 60].</w:t>
      </w:r>
    </w:p>
    <w:p>
      <w:pPr>
        <w:keepNext/>
        <w:spacing w:before="280" w:after="80"/>
      </w:pPr>
      <w:r>
        <w:rPr>
          <w:rFonts w:ascii="Calibri" w:hAnsi="Calibri"/>
          <w:b/>
          <w:color w:val="2874A6"/>
          <w:sz w:val="24"/>
        </w:rPr>
        <w:t>2.7 Research Gaps Addressed</w:t>
      </w:r>
    </w:p>
    <w:p>
      <w:r>
        <w:t>A critical synthesis of the literature reveals three fundamental gaps: (1) unimodal vulnerability, where image models lack constitutional context and symptom models lack lesion morphology; (2) data leakage in image benchmarks due to near-duplicate photographs crossing splits; and (3) lack of unified dual-modality explainability in deployable decision-support systems. The proposed framework directly resolves these limitations.</w:t>
      </w:r>
    </w:p>
    <w:p>
      <w:pPr>
        <w:keepNext/>
        <w:spacing w:before="280" w:after="80"/>
      </w:pPr>
      <w:r>
        <w:rPr>
          <w:rFonts w:ascii="Calibri" w:hAnsi="Calibri"/>
          <w:b/>
          <w:color w:val="1B4F72"/>
          <w:sz w:val="28"/>
        </w:rPr>
        <w:t>3. Materials and Methods</w:t>
      </w:r>
    </w:p>
    <w:p>
      <w:pPr>
        <w:keepNext/>
        <w:spacing w:before="280" w:after="80"/>
      </w:pPr>
      <w:r>
        <w:rPr>
          <w:rFonts w:ascii="Calibri" w:hAnsi="Calibri"/>
          <w:b/>
          <w:color w:val="2874A6"/>
          <w:sz w:val="24"/>
        </w:rPr>
        <w:t>3.1 Materials</w:t>
      </w:r>
    </w:p>
    <w:p>
      <w:r>
        <w:t>The research framework was developed using Python (v3.12) within a scientific computing environment. Key software libraries included PyTorch (v2.6) and Torchvision for deep learning modeling and Grad-CAM generation; Scikit-Learn (v1.6) for clinical feature selection, ANOVA scoring, and evaluation metrics; Imbalanced-Learn for SMOTE oversampling; Pillow and OpenCV for image preprocessing; FastAPI and Uvicorn for asynchronous microservice deployment; and Next.js (v15) with React for the frontend clinical decision-support interface. Experiments were executed on Apple Silicon hardware (M-series, 16 GB Unified Memory) with Metal Performance Shaders (MPS) and CPU execution pipelines.</w:t>
      </w:r>
    </w:p>
    <w:p>
      <w:pPr>
        <w:keepNext/>
        <w:spacing w:before="280" w:after="80"/>
      </w:pPr>
      <w:r>
        <w:rPr>
          <w:rFonts w:ascii="Calibri" w:hAnsi="Calibri"/>
          <w:b/>
          <w:color w:val="2874A6"/>
          <w:sz w:val="24"/>
        </w:rPr>
        <w:t>3.2 Modeling Approach</w:t>
      </w:r>
    </w:p>
    <w:p>
      <w:r>
        <w:t>The proposed architecture operates three interconnected modeling tracks (Fig. 2):</w:t>
      </w:r>
    </w:p>
    <w:p>
      <w:r>
        <w:t>• Pipeline 1 (Clinical Pathway): Patient clinical records undergo target-leakage removal, collinearity filtering (r &lt; 0.95), ANOVA F-score ranking to select 28 non-collinear features, SMOTE class balancing, and 2-layer MLP projection into a 64-D clinical embedding.</w:t>
        <w:br/>
        <w:t>• Pipeline 2 (Image Pathway): Dermatological photographs undergo perceptual hash deduplication (d_Hamming &lt;= 5), group-isolated 70/15/15 partitioning, resolution standardization (224x224), ImageNet normalization, conservative augmentation, and deep feature extraction via fine-tuned ResNet-50 projecting to a 256-D visual representation.</w:t>
        <w:br/>
        <w:t>• Pipeline 3 (Multimodal Pathway): The 256-D visual embedding and 64-D clinical embedding are concatenated into a 320-D fused representation, which is processed by a regularized classification head (Linear 320→128, BatchNorm, ReLU, Dropout 0.30, Linear 128→2) to output two-class logits (Monkeypox vs. Non-Monkeypox).</w:t>
      </w:r>
    </w:p>
    <w:p>
      <w:pPr>
        <w:spacing w:before="160" w:after="6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overall_methodology.png"/>
                    <pic:cNvPicPr/>
                  </pic:nvPicPr>
                  <pic:blipFill>
                    <a:blip r:embed="rId12"/>
                    <a:stretch>
                      <a:fillRect/>
                    </a:stretch>
                  </pic:blipFill>
                  <pic:spPr>
                    <a:xfrm>
                      <a:off x="0" y="0"/>
                      <a:ext cx="5303520" cy="2651760"/>
                    </a:xfrm>
                    <a:prstGeom prst="rect"/>
                  </pic:spPr>
                </pic:pic>
              </a:graphicData>
            </a:graphic>
          </wp:inline>
        </w:drawing>
      </w:r>
    </w:p>
    <w:p>
      <w:pPr>
        <w:keepNext w:val="0"/>
        <w:spacing w:before="40" w:after="200"/>
        <w:jc w:val="center"/>
      </w:pPr>
      <w:r>
        <w:rPr>
          <w:rFonts w:ascii="Calibri" w:hAnsi="Calibri"/>
          <w:b/>
          <w:color w:val="1B4F72"/>
          <w:sz w:val="18"/>
        </w:rPr>
        <w:t xml:space="preserve">Fig. 2 </w:t>
      </w:r>
      <w:r>
        <w:rPr>
          <w:rFonts w:ascii="Calibri" w:hAnsi="Calibri"/>
          <w:color w:val="505050"/>
          <w:sz w:val="18"/>
        </w:rPr>
        <w:t>Overall architecture of the proposed multimodal monkeypox detection framework showing data ingestion, feature selection, multi-branch model training, dual explainability, and microservice deployment.</w:t>
      </w:r>
    </w:p>
    <w:p>
      <w:pPr>
        <w:keepNext/>
        <w:spacing w:before="280" w:after="80"/>
      </w:pPr>
      <w:r>
        <w:rPr>
          <w:rFonts w:ascii="Calibri" w:hAnsi="Calibri"/>
          <w:b/>
          <w:color w:val="2874A6"/>
          <w:sz w:val="24"/>
        </w:rPr>
        <w:t>3.3 Data Collection</w:t>
      </w:r>
    </w:p>
    <w:p>
      <w:r>
        <w:t>Data collection integrated two synchronized repositories: a curated tabular clinical intake dataset capturing patient-reported constitutional symptoms and a multicenter dermatological skin lesion photograph repository.</w:t>
      </w:r>
    </w:p>
    <w:p>
      <w:pPr>
        <w:keepNext/>
        <w:spacing w:before="280" w:after="80"/>
      </w:pPr>
      <w:r>
        <w:rPr>
          <w:rFonts w:ascii="Calibri" w:hAnsi="Calibri"/>
          <w:b/>
          <w:color w:val="2874A6"/>
          <w:sz w:val="24"/>
        </w:rPr>
        <w:t>3.4 Clinical Dataset</w:t>
      </w:r>
    </w:p>
    <w:p>
      <w:r>
        <w:t>The clinical dataset comprises 211 validated patient records characterized across 48 raw fields (including binary indicators for systemic manifestations, mucosal ulcerations, and constitutional symptoms) with a binary diagnostic target (Monkeypox Positive vs. Negative) [22, 32]. Preprocessing identified and eliminated quasi-constant columns (variance &lt; 0.01) and redundant collinear features (r &gt;= 0.95). ANOVA F-statistic ranking retained the top 28 diagnostic features (including fever, oral/genital ulcers, rash, muscle pain, skin lesions, ulcerative lesions, headache, itch, pustules, fatigue, and swollen lymph nodes).</w:t>
      </w:r>
    </w:p>
    <w:p>
      <w:pPr>
        <w:keepNext/>
        <w:spacing w:before="280" w:after="80"/>
      </w:pPr>
      <w:r>
        <w:rPr>
          <w:rFonts w:ascii="Calibri" w:hAnsi="Calibri"/>
          <w:b/>
          <w:color w:val="2874A6"/>
          <w:sz w:val="24"/>
        </w:rPr>
        <w:t>3.5 Image Dataset</w:t>
      </w:r>
    </w:p>
    <w:p>
      <w:r>
        <w:t>The image repository contains 6,916 high-resolution dermatological photographs across 127 patient groups (2,606 monkeypox cases and 4,310 non-monkeypox control images representing chickenpox, measles, herpes, and normal skin). The dataset exhibits an intrinsic class imbalance of approximately 1:2 (37.7% monkeypox to 62.3% non-monkeypox). To avoid overoptimistic performance from duplicate or multi-angle photos of the same lesion, perceptual hashing (pHash) with a Hamming distance threshold d_Hamming &lt;= 5 was enforced to guarantee zero identity leakage across splits.</w:t>
      </w:r>
    </w:p>
    <w:p>
      <w:pPr>
        <w:keepNext/>
        <w:spacing w:before="280" w:after="80"/>
      </w:pPr>
      <w:r>
        <w:rPr>
          <w:rFonts w:ascii="Calibri" w:hAnsi="Calibri"/>
          <w:b/>
          <w:color w:val="2874A6"/>
          <w:sz w:val="24"/>
        </w:rPr>
        <w:t>3.6 Data Preprocessing</w:t>
      </w:r>
    </w:p>
    <w:p>
      <w:r>
        <w:t>Tabular records were encoded numerically, validated against missingness, and standardized. Images were decoded, RGB-converted, resized to 224x224 pixels, and normalized using standard ImageNet mean ([0.485, 0.456, 0.406]) and standard deviation ([0.229, 0.224, 0.225]).</w:t>
      </w:r>
    </w:p>
    <w:p>
      <w:pPr>
        <w:keepNext/>
        <w:spacing w:before="280" w:after="80"/>
      </w:pPr>
      <w:r>
        <w:rPr>
          <w:rFonts w:ascii="Calibri" w:hAnsi="Calibri"/>
          <w:b/>
          <w:color w:val="2874A6"/>
          <w:sz w:val="24"/>
        </w:rPr>
        <w:t>3.7 Clinical Data Preprocessing and Class Balancing</w:t>
      </w:r>
    </w:p>
    <w:p>
      <w:r>
        <w:t>To address class imbalance in the clinical training split without corrupting evaluation, Synthetic Minority Oversampling Technique (SMOTE) was applied strictly to the training fold. SMOTE synthesizes new minority instances along feature-space line segments connecting k-nearest minority neighbors, balancing the training partition to equal class distributions.</w:t>
      </w:r>
    </w:p>
    <w:p>
      <w:pPr>
        <w:spacing w:before="160" w:after="6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3_clinical_pipeline.png"/>
                    <pic:cNvPicPr/>
                  </pic:nvPicPr>
                  <pic:blipFill>
                    <a:blip r:embed="rId13"/>
                    <a:stretch>
                      <a:fillRect/>
                    </a:stretch>
                  </pic:blipFill>
                  <pic:spPr>
                    <a:xfrm>
                      <a:off x="0" y="0"/>
                      <a:ext cx="5303520" cy="2651760"/>
                    </a:xfrm>
                    <a:prstGeom prst="rect"/>
                  </pic:spPr>
                </pic:pic>
              </a:graphicData>
            </a:graphic>
          </wp:inline>
        </w:drawing>
      </w:r>
    </w:p>
    <w:p>
      <w:pPr>
        <w:keepNext w:val="0"/>
        <w:spacing w:before="40" w:after="200"/>
        <w:jc w:val="center"/>
      </w:pPr>
      <w:r>
        <w:rPr>
          <w:rFonts w:ascii="Calibri" w:hAnsi="Calibri"/>
          <w:b/>
          <w:color w:val="1B4F72"/>
          <w:sz w:val="18"/>
        </w:rPr>
        <w:t xml:space="preserve">Fig. 3 </w:t>
      </w:r>
      <w:r>
        <w:rPr>
          <w:rFonts w:ascii="Calibri" w:hAnsi="Calibri"/>
          <w:color w:val="505050"/>
          <w:sz w:val="18"/>
        </w:rPr>
        <w:t>Clinical model development pipeline illustrating data cleaning, correlation filtering, ANOVA F-statistic selection of 28 features, SMOTE oversampling, and 2-layer Clinical MLP training.</w:t>
      </w:r>
    </w:p>
    <w:p>
      <w:pPr>
        <w:keepNext/>
        <w:spacing w:before="280" w:after="80"/>
      </w:pPr>
      <w:r>
        <w:rPr>
          <w:rFonts w:ascii="Calibri" w:hAnsi="Calibri"/>
          <w:b/>
          <w:color w:val="2874A6"/>
          <w:sz w:val="24"/>
        </w:rPr>
        <w:t>3.8 Image Preprocessing and Augmentation</w:t>
      </w:r>
    </w:p>
    <w:p>
      <w:r>
        <w:t>To prevent overfitting during deep CNN training, conservative data augmentations were applied during training: random horizontal flips (p = 0.5), random affine rotations (+/- 15 degrees), random scaling (0.9 to 1.1), and subtle color jittering (brightness +/- 0.1, contrast +/- 0.1). Validation and test sets received deterministic resizing and center-cropping only.</w:t>
      </w:r>
    </w:p>
    <w:p>
      <w:pPr>
        <w:keepNext/>
        <w:spacing w:before="280" w:after="80"/>
      </w:pPr>
      <w:r>
        <w:rPr>
          <w:rFonts w:ascii="Calibri" w:hAnsi="Calibri"/>
          <w:b/>
          <w:color w:val="2874A6"/>
          <w:sz w:val="24"/>
        </w:rPr>
        <w:t>3.9 Model Development</w:t>
      </w:r>
    </w:p>
    <w:p>
      <w:r>
        <w:t>Model development progressed through three modular stages: clinical MLP construction, computer vision backbone benchmarking, and multimodal feature fusion.</w:t>
      </w:r>
    </w:p>
    <w:p>
      <w:pPr>
        <w:keepNext/>
        <w:spacing w:before="280" w:after="80"/>
      </w:pPr>
      <w:r>
        <w:rPr>
          <w:rFonts w:ascii="Calibri" w:hAnsi="Calibri"/>
          <w:b/>
          <w:color w:val="2874A6"/>
          <w:sz w:val="24"/>
        </w:rPr>
        <w:t>3.10 Clinical Model Development (Model B)</w:t>
      </w:r>
    </w:p>
    <w:p>
      <w:r>
        <w:t>The clinical classifier (Model B) is a 2-stage Multi-Layer Perceptron (MLP) taking the 28-dimensional symptom vector as input. The first stage applies a Linear(28, 64) transformation followed by Batch Normalization, ReLU non-linearity, and Dropout (p = 0.20) to generate a 64-dimensional clinical feature embedding. For standalone clinical classification, a secondary Linear(64, 2) projection computes class logits.</w:t>
      </w:r>
    </w:p>
    <w:p>
      <w:pPr>
        <w:keepNext/>
        <w:spacing w:before="280" w:after="80"/>
      </w:pPr>
      <w:r>
        <w:rPr>
          <w:rFonts w:ascii="Calibri" w:hAnsi="Calibri"/>
          <w:b/>
          <w:color w:val="2874A6"/>
          <w:sz w:val="24"/>
        </w:rPr>
        <w:t>3.11 Image Model Development (Model A)</w:t>
      </w:r>
    </w:p>
    <w:p>
      <w:r>
        <w:t>Four ImageNet-pretrained convolutional architectures were fine-tuned under identical training protocols (AdamW optimizer, initial learning rate 1e-4 with cosine decay, batch size 16, 20 epochs, weighted cross-entropy loss):</w:t>
        <w:br/>
        <w:t>1. ResNet-50: A 50-layer deep residual network utilizing bottleneck residual blocks with identity shortcut connections that mitigate vanishing gradients [48]. The final global average pooling layer yields 2048-D features, projected via a linear layer to a 256-D visual embedding.</w:t>
        <w:br/>
        <w:t>2. DenseNet-121: A 121-layer densely connected architecture where each layer receives direct inputs from all preceding layers, promoting feature reuse [29].</w:t>
        <w:br/>
        <w:t>3. EfficientNet-B0: A compound-scaled CNN optimizing depth, width, and resolution using neural architecture search [27].</w:t>
        <w:br/>
        <w:t>4. MobileNet-V3-Small: A lightweight edge architecture employing depthwise separable convolutions and squeeze-and-excitation modules [27].</w:t>
      </w:r>
    </w:p>
    <w:p>
      <w:pPr>
        <w:spacing w:before="160" w:after="6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ig4_image_pipeline.png"/>
                    <pic:cNvPicPr/>
                  </pic:nvPicPr>
                  <pic:blipFill>
                    <a:blip r:embed="rId14"/>
                    <a:stretch>
                      <a:fillRect/>
                    </a:stretch>
                  </pic:blipFill>
                  <pic:spPr>
                    <a:xfrm>
                      <a:off x="0" y="0"/>
                      <a:ext cx="5303520" cy="2651760"/>
                    </a:xfrm>
                    <a:prstGeom prst="rect"/>
                  </pic:spPr>
                </pic:pic>
              </a:graphicData>
            </a:graphic>
          </wp:inline>
        </w:drawing>
      </w:r>
    </w:p>
    <w:p>
      <w:pPr>
        <w:keepNext w:val="0"/>
        <w:spacing w:before="40" w:after="200"/>
        <w:jc w:val="center"/>
      </w:pPr>
      <w:r>
        <w:rPr>
          <w:rFonts w:ascii="Calibri" w:hAnsi="Calibri"/>
          <w:b/>
          <w:color w:val="1B4F72"/>
          <w:sz w:val="18"/>
        </w:rPr>
        <w:t xml:space="preserve">Fig. 4 </w:t>
      </w:r>
      <w:r>
        <w:rPr>
          <w:rFonts w:ascii="Calibri" w:hAnsi="Calibri"/>
          <w:color w:val="505050"/>
          <w:sz w:val="18"/>
        </w:rPr>
        <w:t>Computer vision backbone benchmark and fine-tuning pipeline on holdout dermatological splits.</w:t>
      </w:r>
    </w:p>
    <w:p>
      <w:pPr>
        <w:keepNext/>
        <w:spacing w:before="280" w:after="80"/>
      </w:pPr>
      <w:r>
        <w:rPr>
          <w:rFonts w:ascii="Calibri" w:hAnsi="Calibri"/>
          <w:b/>
          <w:color w:val="2874A6"/>
          <w:sz w:val="24"/>
        </w:rPr>
        <w:t>3.12 Multimodal Model Development (Model C)</w:t>
      </w:r>
    </w:p>
    <w:p>
      <w:r>
        <w:t>The multimodal fusion architecture (Model C) combines the 256-D visual embedding from the fine-tuned ResNet-50 backbone with the 64-D clinical embedding from the Clinical MLP. The representations are concatenated into a 320-dimensional fused vector (256 + 64 = 320), which is passed to an MLP classification head:</w:t>
        <w:br/>
        <w:t>h_fused = [v_image (256-D) || c_clinical (64-D)] ∈ R^320</w:t>
        <w:br/>
        <w:t>z_1 = ReLU(BatchNorm(W_1 · h_fused + b_1)), where W_1 ∈ R^(128 x 320)</w:t>
        <w:br/>
        <w:t>z_drop = Dropout(0.30)(z_1)</w:t>
        <w:br/>
        <w:t>logits = W_2 · z_drop + b_2, where W_2 ∈ R^(2 x 128)</w:t>
      </w:r>
    </w:p>
    <w:p>
      <w:pPr>
        <w:spacing w:before="160" w:after="6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fig5_multimodal_architecture.png"/>
                    <pic:cNvPicPr/>
                  </pic:nvPicPr>
                  <pic:blipFill>
                    <a:blip r:embed="rId15"/>
                    <a:stretch>
                      <a:fillRect/>
                    </a:stretch>
                  </pic:blipFill>
                  <pic:spPr>
                    <a:xfrm>
                      <a:off x="0" y="0"/>
                      <a:ext cx="5303520" cy="2651760"/>
                    </a:xfrm>
                    <a:prstGeom prst="rect"/>
                  </pic:spPr>
                </pic:pic>
              </a:graphicData>
            </a:graphic>
          </wp:inline>
        </w:drawing>
      </w:r>
    </w:p>
    <w:p>
      <w:pPr>
        <w:keepNext w:val="0"/>
        <w:spacing w:before="40" w:after="200"/>
        <w:jc w:val="center"/>
      </w:pPr>
      <w:r>
        <w:rPr>
          <w:rFonts w:ascii="Calibri" w:hAnsi="Calibri"/>
          <w:b/>
          <w:color w:val="1B4F72"/>
          <w:sz w:val="18"/>
        </w:rPr>
        <w:t xml:space="preserve">Fig. 5 </w:t>
      </w:r>
      <w:r>
        <w:rPr>
          <w:rFonts w:ascii="Calibri" w:hAnsi="Calibri"/>
          <w:color w:val="505050"/>
          <w:sz w:val="18"/>
        </w:rPr>
        <w:t>Detailed neural network schematic of the Multimodal Fusion Model (Model C) showing dual-branch projection, 320-D feature concatenation, and the MLP classification head.</w:t>
      </w:r>
    </w:p>
    <w:p>
      <w:pPr>
        <w:keepNext/>
        <w:spacing w:before="280" w:after="80"/>
      </w:pPr>
      <w:r>
        <w:rPr>
          <w:rFonts w:ascii="Calibri" w:hAnsi="Calibri"/>
          <w:b/>
          <w:color w:val="2874A6"/>
          <w:sz w:val="24"/>
        </w:rPr>
        <w:t>3.13 Model Evaluation</w:t>
      </w:r>
    </w:p>
    <w:p>
      <w:r>
        <w:t>Model performance was evaluated across standardized epidemiological and classification metrics on the holdout test partition (N = 270):</w:t>
        <w:br/>
        <w:t>• Accuracy = (TP + TN) / (TP + TN + FP + FN)</w:t>
        <w:br/>
        <w:t>• Precision = TP / (TP + FP)</w:t>
        <w:br/>
        <w:t>• Recall / Sensitivity = TP / (TP + FN)</w:t>
        <w:br/>
        <w:t>• Specificity = TN / (TN + FP)</w:t>
        <w:br/>
        <w:t>• F1-Score = 2 · (Precision · Recall) / (Precision + Recall)</w:t>
        <w:br/>
        <w:t>• Balanced Accuracy = (Sensitivity + Specificity) / 2</w:t>
        <w:br/>
        <w:t>where True Positive (TP) denotes correctly classified monkeypox cases; True Negative (TN) denotes correctly identified non-monkeypox controls; False Positive (FP) denotes controls misclassified as monkeypox; and False Negative (FN) denotes monkeypox cases incorrectly classified as non-monkeypox.</w:t>
      </w:r>
    </w:p>
    <w:p>
      <w:pPr>
        <w:keepNext/>
        <w:spacing w:before="280" w:after="80"/>
      </w:pPr>
      <w:r>
        <w:rPr>
          <w:rFonts w:ascii="Calibri" w:hAnsi="Calibri"/>
          <w:b/>
          <w:color w:val="2874A6"/>
          <w:sz w:val="24"/>
        </w:rPr>
        <w:t>3.14 Explainability and Interpretability Framework</w:t>
      </w:r>
    </w:p>
    <w:p>
      <w:r>
        <w:t>To ensure clinical trust, dual explainability was implemented: (1) Visual XAI via Grad-CAM computes gradients of the target class score with respect to feature activation maps in the final convolutional layer of ResNet-50 (layer4.2.conv3), generating localized spatial heatmaps that highlight distinctive lesions; (2) Tabular XAI computes marginal attribution weights for all 28 clinical features, quantifying how individual symptom presentations push the decision boundary toward or away from monkeypox infection.</w:t>
      </w:r>
    </w:p>
    <w:p>
      <w:pPr>
        <w:keepNext/>
        <w:spacing w:before="280" w:after="80"/>
      </w:pPr>
      <w:r>
        <w:rPr>
          <w:rFonts w:ascii="Calibri" w:hAnsi="Calibri"/>
          <w:b/>
          <w:color w:val="2874A6"/>
          <w:sz w:val="24"/>
        </w:rPr>
        <w:t>3.15 Model Deployment and Application Architecture</w:t>
      </w:r>
    </w:p>
    <w:p>
      <w:r>
        <w:t>The trained models were containerized and operationalized as an asynchronous RESTful microservice using FastAPI. The backend dynamically routes incoming requests based on available inputs: if only symptoms are provided, Model B executes; if only a photograph is uploaded, Model A executes; and if both are supplied, Model C performs multimodal fusion, returning predicted probabilities, diagnostic classifications, Grad-CAM overlays, and symptom attribution cards to a Next.js web application.</w:t>
      </w:r>
    </w:p>
    <w:p>
      <w:pPr>
        <w:keepNext/>
        <w:spacing w:before="280" w:after="80"/>
      </w:pPr>
      <w:r>
        <w:rPr>
          <w:rFonts w:ascii="Calibri" w:hAnsi="Calibri"/>
          <w:b/>
          <w:color w:val="1B4F72"/>
          <w:sz w:val="28"/>
        </w:rPr>
        <w:t>4. Results</w:t>
      </w:r>
    </w:p>
    <w:p>
      <w:pPr>
        <w:keepNext/>
        <w:spacing w:before="280" w:after="80"/>
      </w:pPr>
      <w:r>
        <w:rPr>
          <w:rFonts w:ascii="Calibri" w:hAnsi="Calibri"/>
          <w:b/>
          <w:color w:val="2874A6"/>
          <w:sz w:val="24"/>
        </w:rPr>
        <w:t>4.1 Experimental Setup</w:t>
      </w:r>
    </w:p>
    <w:p>
      <w:r>
        <w:t>All models were trained and benchmarked on standardized, leakage-free partitions: Train (6,374 images across 103 patient groups), Validation (272 images across 12 groups), and Holdout Test (270 images across 12 groups: 52 monkeypox, 218 non-monkeypox).</w:t>
      </w:r>
    </w:p>
    <w:p>
      <w:pPr>
        <w:keepNext/>
        <w:spacing w:before="280" w:after="80"/>
      </w:pPr>
      <w:r>
        <w:rPr>
          <w:rFonts w:ascii="Calibri" w:hAnsi="Calibri"/>
          <w:b/>
          <w:color w:val="2874A6"/>
          <w:sz w:val="24"/>
        </w:rPr>
        <w:t>4.2 Clinical Model Results (Model B)</w:t>
      </w:r>
    </w:p>
    <w:p>
      <w:r>
        <w:t>The 2-layer Clinical MLP evaluated on the holdout test set demonstrated remarkable discriminative capability on structured symptom profiles, achieving 95.19% overall accuracy, 100.00% precision, 75.00% sensitivity, 100.00% specificity, 85.71% F1-score, and an ROC-AUC of 97.13% (Table 2 and Fig. 6). Because hallmark constitutional symptoms (fever, mucosal ulcers, severe rash) were highly predictive, Model B generated 0 false positives on the holdout test set.</w:t>
      </w:r>
    </w:p>
    <w:p>
      <w:pPr>
        <w:spacing w:before="160" w:after="60"/>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fig6_clinical_performance.png"/>
                    <pic:cNvPicPr/>
                  </pic:nvPicPr>
                  <pic:blipFill>
                    <a:blip r:embed="rId16"/>
                    <a:stretch>
                      <a:fillRect/>
                    </a:stretch>
                  </pic:blipFill>
                  <pic:spPr>
                    <a:xfrm>
                      <a:off x="0" y="0"/>
                      <a:ext cx="5303520" cy="3535680"/>
                    </a:xfrm>
                    <a:prstGeom prst="rect"/>
                  </pic:spPr>
                </pic:pic>
              </a:graphicData>
            </a:graphic>
          </wp:inline>
        </w:drawing>
      </w:r>
    </w:p>
    <w:p>
      <w:pPr>
        <w:keepNext w:val="0"/>
        <w:spacing w:before="40" w:after="200"/>
        <w:jc w:val="center"/>
      </w:pPr>
      <w:r>
        <w:rPr>
          <w:rFonts w:ascii="Calibri" w:hAnsi="Calibri"/>
          <w:b/>
          <w:color w:val="1B4F72"/>
          <w:sz w:val="18"/>
        </w:rPr>
        <w:t xml:space="preserve">Fig. 6 </w:t>
      </w:r>
      <w:r>
        <w:rPr>
          <w:rFonts w:ascii="Calibri" w:hAnsi="Calibri"/>
          <w:color w:val="505050"/>
          <w:sz w:val="18"/>
        </w:rPr>
        <w:t>Evaluation metrics of the Clinical MLP Model (Model B) across standardized performance parameters.</w:t>
      </w:r>
    </w:p>
    <w:p>
      <w:pPr>
        <w:keepNext/>
        <w:spacing w:before="280" w:after="80"/>
      </w:pPr>
      <w:r>
        <w:rPr>
          <w:rFonts w:ascii="Calibri" w:hAnsi="Calibri"/>
          <w:b/>
          <w:color w:val="2874A6"/>
          <w:sz w:val="24"/>
        </w:rPr>
        <w:t>4.3 Computer Vision Backbone Benchmark Results (Model A)</w:t>
      </w:r>
    </w:p>
    <w:p>
      <w:r>
        <w:t>Empirical comparison of the four fine-tuned deep learning vision backbones is presented in Table 3 and Fig. 7. ResNet-50 achieved the highest overall accuracy (86.67%), highest ROC-AUC (91.97%), highest PR-AUC (63.76%), and the lowest generalization gap between validation and test splits (0.11 F1 gap). DenseNet-121 matched ResNet-50 in sensitivity (75.00%) but exhibited lower specificity (83.94%) and lower F1-score (61.90%). EfficientNet-B0 and MobileNet-V3-Small exhibited lower sensitivity (59.62% and 44.23%, respectively). Consequently, ResNet-50 was selected as the optimal visual feature extractor.</w:t>
      </w:r>
    </w:p>
    <w:p>
      <w:pPr>
        <w:spacing w:before="160" w:after="6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fig7_image_benchmark.png"/>
                    <pic:cNvPicPr/>
                  </pic:nvPicPr>
                  <pic:blipFill>
                    <a:blip r:embed="rId17"/>
                    <a:stretch>
                      <a:fillRect/>
                    </a:stretch>
                  </pic:blipFill>
                  <pic:spPr>
                    <a:xfrm>
                      <a:off x="0" y="0"/>
                      <a:ext cx="5303520" cy="2983230"/>
                    </a:xfrm>
                    <a:prstGeom prst="rect"/>
                  </pic:spPr>
                </pic:pic>
              </a:graphicData>
            </a:graphic>
          </wp:inline>
        </w:drawing>
      </w:r>
    </w:p>
    <w:p>
      <w:pPr>
        <w:keepNext w:val="0"/>
        <w:spacing w:before="40" w:after="200"/>
        <w:jc w:val="center"/>
      </w:pPr>
      <w:r>
        <w:rPr>
          <w:rFonts w:ascii="Calibri" w:hAnsi="Calibri"/>
          <w:b/>
          <w:color w:val="1B4F72"/>
          <w:sz w:val="18"/>
        </w:rPr>
        <w:t xml:space="preserve">Fig. 7 </w:t>
      </w:r>
      <w:r>
        <w:rPr>
          <w:rFonts w:ascii="Calibri" w:hAnsi="Calibri"/>
          <w:color w:val="505050"/>
          <w:sz w:val="18"/>
        </w:rPr>
        <w:t>Comparative performance benchmark of candidate computer vision backbones on the holdout test set.</w:t>
      </w:r>
    </w:p>
    <w:p>
      <w:pPr>
        <w:keepNext/>
        <w:spacing w:before="280" w:after="80"/>
      </w:pPr>
      <w:r>
        <w:rPr>
          <w:rFonts w:ascii="Calibri" w:hAnsi="Calibri"/>
          <w:b/>
          <w:color w:val="2874A6"/>
          <w:sz w:val="24"/>
        </w:rPr>
        <w:t>4.4 Multimodal Model Results (Model C)</w:t>
      </w:r>
    </w:p>
    <w:p>
      <w:r>
        <w:t>The Multimodal Fusion Model (Model C) combining ResNet-50 visual features with Clinical MLP embeddings achieved 90.37% overall accuracy, 84.52% balanced accuracy, 75.00% precision, 75.00% sensitivity, 94.04% specificity, 84.52% macro F1-score, and an ROC-AUC of 93.60% on the holdout test set (Table 4).</w:t>
      </w:r>
    </w:p>
    <w:p>
      <w:pPr>
        <w:keepNext/>
        <w:spacing w:before="280" w:after="80"/>
      </w:pPr>
      <w:r>
        <w:rPr>
          <w:rFonts w:ascii="Calibri" w:hAnsi="Calibri"/>
          <w:b/>
          <w:color w:val="2874A6"/>
          <w:sz w:val="24"/>
        </w:rPr>
        <w:t>4.5 Comparison of Clinical, Image, and Multimodal Models</w:t>
      </w:r>
    </w:p>
    <w:p>
      <w:r>
        <w:t>Table 5 presents the direct comparative evaluation across all three modeling paradigms. Compared to the Image-Only Baseline (Model A), Multimodal Fusion (Model C) achieved a +3.70% improvement in accuracy (90.37% vs. 86.67%), a +12.10% increase in precision (75.00% vs. 62.90%), a +6.58% gain in Mpox F1-score (75.00% vs. 68.42%), a +4.59% enhancement in specificity (94.04% vs. 89.45%), and a +1.63% improvement in ROC-AUC (93.60% vs. 91.97%), while maintaining 75.00% sensitivity.</w:t>
      </w:r>
    </w:p>
    <w:p>
      <w:pPr>
        <w:keepNext/>
        <w:spacing w:before="280" w:after="80"/>
      </w:pPr>
      <w:r>
        <w:rPr>
          <w:rFonts w:ascii="Calibri" w:hAnsi="Calibri"/>
          <w:b/>
          <w:color w:val="2874A6"/>
          <w:sz w:val="24"/>
        </w:rPr>
        <w:t>4.6 Confusion Matrix and Error Breakdown Analysis</w:t>
      </w:r>
    </w:p>
    <w:p>
      <w:r>
        <w:t>Detailed confusion matrix analysis across the 270 holdout test cases (Fig. 8 and Table 6) reveals the critical clinical value of multimodal integration: Model A (image only) generated 23 false positives due to look-alike lesions. By incorporating the patient's clinical symptom embedding, Model C reduced false positives from 23 down to 13—representing a 43.5% relative reduction in false alarms—without increasing false negatives (maintained at 13).</w:t>
      </w:r>
    </w:p>
    <w:p>
      <w:pPr>
        <w:spacing w:before="160" w:after="60"/>
        <w:jc w:val="center"/>
      </w:pPr>
      <w:r>
        <w:drawing>
          <wp:inline xmlns:a="http://schemas.openxmlformats.org/drawingml/2006/main" xmlns:pic="http://schemas.openxmlformats.org/drawingml/2006/picture">
            <wp:extent cx="5303520" cy="1679448"/>
            <wp:docPr id="8" name="Picture 8"/>
            <wp:cNvGraphicFramePr>
              <a:graphicFrameLocks noChangeAspect="1"/>
            </wp:cNvGraphicFramePr>
            <a:graphic>
              <a:graphicData uri="http://schemas.openxmlformats.org/drawingml/2006/picture">
                <pic:pic>
                  <pic:nvPicPr>
                    <pic:cNvPr id="0" name="fig8_confusion_matrices.png"/>
                    <pic:cNvPicPr/>
                  </pic:nvPicPr>
                  <pic:blipFill>
                    <a:blip r:embed="rId18"/>
                    <a:stretch>
                      <a:fillRect/>
                    </a:stretch>
                  </pic:blipFill>
                  <pic:spPr>
                    <a:xfrm>
                      <a:off x="0" y="0"/>
                      <a:ext cx="5303520" cy="1679448"/>
                    </a:xfrm>
                    <a:prstGeom prst="rect"/>
                  </pic:spPr>
                </pic:pic>
              </a:graphicData>
            </a:graphic>
          </wp:inline>
        </w:drawing>
      </w:r>
    </w:p>
    <w:p>
      <w:pPr>
        <w:keepNext w:val="0"/>
        <w:spacing w:before="40" w:after="200"/>
        <w:jc w:val="center"/>
      </w:pPr>
      <w:r>
        <w:rPr>
          <w:rFonts w:ascii="Calibri" w:hAnsi="Calibri"/>
          <w:b/>
          <w:color w:val="1B4F72"/>
          <w:sz w:val="18"/>
        </w:rPr>
        <w:t xml:space="preserve">Fig. 8 </w:t>
      </w:r>
      <w:r>
        <w:rPr>
          <w:rFonts w:ascii="Calibri" w:hAnsi="Calibri"/>
          <w:color w:val="505050"/>
          <w:sz w:val="18"/>
        </w:rPr>
        <w:t>Confusion matrices for Model A (Image-Only), Model B (Clinical-Only), and Model C (Multimodal Fusion) on the 270-case holdout test split.</w:t>
      </w:r>
    </w:p>
    <w:p>
      <w:pPr>
        <w:keepNext/>
        <w:spacing w:before="280" w:after="80"/>
      </w:pPr>
      <w:r>
        <w:rPr>
          <w:rFonts w:ascii="Calibri" w:hAnsi="Calibri"/>
          <w:b/>
          <w:color w:val="2874A6"/>
          <w:sz w:val="24"/>
        </w:rPr>
        <w:t>4.7 ROC-AUC Analysis</w:t>
      </w:r>
    </w:p>
    <w:p>
      <w:r>
        <w:t>Receiver Operating Characteristic (ROC) curve analysis (Fig. 9) confirms strong discriminative performance across all models: Clinical-Only MLP achieved an AUC of 0.971, Multimodal Fusion achieved an AUC of 0.936, and Image-Only ResNet-50 achieved an AUC of 0.920, all vastly outperforming the random chance diagonal (0.500).</w:t>
      </w:r>
    </w:p>
    <w:p>
      <w:pPr>
        <w:spacing w:before="160" w:after="60"/>
        <w:jc w:val="center"/>
      </w:pPr>
      <w:r>
        <w:drawing>
          <wp:inline xmlns:a="http://schemas.openxmlformats.org/drawingml/2006/main" xmlns:pic="http://schemas.openxmlformats.org/drawingml/2006/picture">
            <wp:extent cx="5303520" cy="4419600"/>
            <wp:docPr id="9" name="Picture 9"/>
            <wp:cNvGraphicFramePr>
              <a:graphicFrameLocks noChangeAspect="1"/>
            </wp:cNvGraphicFramePr>
            <a:graphic>
              <a:graphicData uri="http://schemas.openxmlformats.org/drawingml/2006/picture">
                <pic:pic>
                  <pic:nvPicPr>
                    <pic:cNvPr id="0" name="fig9_roc_curves.png"/>
                    <pic:cNvPicPr/>
                  </pic:nvPicPr>
                  <pic:blipFill>
                    <a:blip r:embed="rId19"/>
                    <a:stretch>
                      <a:fillRect/>
                    </a:stretch>
                  </pic:blipFill>
                  <pic:spPr>
                    <a:xfrm>
                      <a:off x="0" y="0"/>
                      <a:ext cx="5303520" cy="4419600"/>
                    </a:xfrm>
                    <a:prstGeom prst="rect"/>
                  </pic:spPr>
                </pic:pic>
              </a:graphicData>
            </a:graphic>
          </wp:inline>
        </w:drawing>
      </w:r>
    </w:p>
    <w:p>
      <w:pPr>
        <w:keepNext w:val="0"/>
        <w:spacing w:before="40" w:after="200"/>
        <w:jc w:val="center"/>
      </w:pPr>
      <w:r>
        <w:rPr>
          <w:rFonts w:ascii="Calibri" w:hAnsi="Calibri"/>
          <w:b/>
          <w:color w:val="1B4F72"/>
          <w:sz w:val="18"/>
        </w:rPr>
        <w:t xml:space="preserve">Fig. 9 </w:t>
      </w:r>
      <w:r>
        <w:rPr>
          <w:rFonts w:ascii="Calibri" w:hAnsi="Calibri"/>
          <w:color w:val="505050"/>
          <w:sz w:val="18"/>
        </w:rPr>
        <w:t>Receiver Operating Characteristic (ROC) curves comparing Model A, Model B, and Model C.</w:t>
      </w:r>
    </w:p>
    <w:p>
      <w:pPr>
        <w:spacing w:before="160" w:after="60"/>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fig10_overall_comparison.png"/>
                    <pic:cNvPicPr/>
                  </pic:nvPicPr>
                  <pic:blipFill>
                    <a:blip r:embed="rId20"/>
                    <a:stretch>
                      <a:fillRect/>
                    </a:stretch>
                  </pic:blipFill>
                  <pic:spPr>
                    <a:xfrm>
                      <a:off x="0" y="0"/>
                      <a:ext cx="5303520" cy="2983230"/>
                    </a:xfrm>
                    <a:prstGeom prst="rect"/>
                  </pic:spPr>
                </pic:pic>
              </a:graphicData>
            </a:graphic>
          </wp:inline>
        </w:drawing>
      </w:r>
    </w:p>
    <w:p>
      <w:pPr>
        <w:keepNext w:val="0"/>
        <w:spacing w:before="40" w:after="200"/>
        <w:jc w:val="center"/>
      </w:pPr>
      <w:r>
        <w:rPr>
          <w:rFonts w:ascii="Calibri" w:hAnsi="Calibri"/>
          <w:b/>
          <w:color w:val="1B4F72"/>
          <w:sz w:val="18"/>
        </w:rPr>
        <w:t xml:space="preserve">Fig. 10 </w:t>
      </w:r>
      <w:r>
        <w:rPr>
          <w:rFonts w:ascii="Calibri" w:hAnsi="Calibri"/>
          <w:color w:val="505050"/>
          <w:sz w:val="18"/>
        </w:rPr>
        <w:t>Comprehensive multi-metric comparison across the three diagnostic modalities.</w:t>
      </w:r>
    </w:p>
    <w:p>
      <w:pPr>
        <w:keepNext/>
        <w:spacing w:before="280" w:after="80"/>
      </w:pPr>
      <w:r>
        <w:rPr>
          <w:rFonts w:ascii="Calibri" w:hAnsi="Calibri"/>
          <w:b/>
          <w:color w:val="2874A6"/>
          <w:sz w:val="24"/>
        </w:rPr>
        <w:t>4.8 Explainability Analysis</w:t>
      </w:r>
    </w:p>
    <w:p>
      <w:r>
        <w:t>Explainability evaluation (Fig. 11) validated that Grad-CAM heatmaps localized precisely on characteristic cutaneous lesions (umbilicated pustules and erythematous borders) rather than surrounding healthy skin or photographic backgrounds. Concurrently, clinical feature attributions identified fever, oral and genital ulcers, swollen lymph nodes, and generalized rash as the top positive drivers of monkeypox classification, aligning with established CDC case definitions.</w:t>
      </w:r>
    </w:p>
    <w:p>
      <w:pPr>
        <w:spacing w:before="160" w:after="60"/>
        <w:jc w:val="center"/>
      </w:pPr>
      <w:r>
        <w:drawing>
          <wp:inline xmlns:a="http://schemas.openxmlformats.org/drawingml/2006/main" xmlns:pic="http://schemas.openxmlformats.org/drawingml/2006/picture">
            <wp:extent cx="5303520" cy="2386584"/>
            <wp:docPr id="11" name="Picture 11"/>
            <wp:cNvGraphicFramePr>
              <a:graphicFrameLocks noChangeAspect="1"/>
            </wp:cNvGraphicFramePr>
            <a:graphic>
              <a:graphicData uri="http://schemas.openxmlformats.org/drawingml/2006/picture">
                <pic:pic>
                  <pic:nvPicPr>
                    <pic:cNvPr id="0" name="fig11_explainability.png"/>
                    <pic:cNvPicPr/>
                  </pic:nvPicPr>
                  <pic:blipFill>
                    <a:blip r:embed="rId21"/>
                    <a:stretch>
                      <a:fillRect/>
                    </a:stretch>
                  </pic:blipFill>
                  <pic:spPr>
                    <a:xfrm>
                      <a:off x="0" y="0"/>
                      <a:ext cx="5303520" cy="2386584"/>
                    </a:xfrm>
                    <a:prstGeom prst="rect"/>
                  </pic:spPr>
                </pic:pic>
              </a:graphicData>
            </a:graphic>
          </wp:inline>
        </w:drawing>
      </w:r>
    </w:p>
    <w:p>
      <w:pPr>
        <w:keepNext w:val="0"/>
        <w:spacing w:before="40" w:after="200"/>
        <w:jc w:val="center"/>
      </w:pPr>
      <w:r>
        <w:rPr>
          <w:rFonts w:ascii="Calibri" w:hAnsi="Calibri"/>
          <w:b/>
          <w:color w:val="1B4F72"/>
          <w:sz w:val="18"/>
        </w:rPr>
        <w:t xml:space="preserve">Fig. 11 </w:t>
      </w:r>
      <w:r>
        <w:rPr>
          <w:rFonts w:ascii="Calibri" w:hAnsi="Calibri"/>
          <w:color w:val="505050"/>
          <w:sz w:val="18"/>
        </w:rPr>
        <w:t>Dual explainability interface showing Grad-CAM lesion localization (A) and clinical feature attribution weights (B).</w:t>
      </w:r>
    </w:p>
    <w:p>
      <w:pPr>
        <w:keepNext/>
        <w:spacing w:before="280" w:after="80"/>
      </w:pPr>
      <w:r>
        <w:rPr>
          <w:rFonts w:ascii="Calibri" w:hAnsi="Calibri"/>
          <w:b/>
          <w:color w:val="2874A6"/>
          <w:sz w:val="24"/>
        </w:rPr>
        <w:t>4.9 Tabular Performance Data</w:t>
      </w:r>
    </w:p>
    <w:p>
      <w:r>
        <w:rPr>
          <w:b/>
        </w:rPr>
        <w:t>Table 1: Clinical dataset characteristics and feature selection summary</w:t>
      </w:r>
    </w:p>
    <w:tbl>
      <w:tblPr>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20" w:type="dxa"/>
              <w:right w:w="120" w:type="dxa"/>
            </w:tcMar>
            <w:shd w:fill="1B4F72"/>
          </w:tcPr>
          <w:p>
            <w:r>
              <w:rPr>
                <w:b/>
                <w:color w:val="FFFFFF"/>
                <w:sz w:val="18"/>
              </w:rPr>
              <w:t>Parameter</w:t>
            </w:r>
          </w:p>
        </w:tc>
        <w:tc>
          <w:tcPr>
            <w:tcW w:type="dxa" w:w="3312"/>
            <w:tcMar>
              <w:top w:w="80" w:type="dxa"/>
              <w:bottom w:w="80" w:type="dxa"/>
              <w:left w:w="120" w:type="dxa"/>
              <w:right w:w="120" w:type="dxa"/>
            </w:tcMar>
            <w:shd w:fill="1B4F72"/>
          </w:tcPr>
          <w:p>
            <w:r>
              <w:rPr>
                <w:b/>
                <w:color w:val="FFFFFF"/>
                <w:sz w:val="18"/>
              </w:rPr>
              <w:t>Raw Dataset</w:t>
            </w:r>
          </w:p>
        </w:tc>
        <w:tc>
          <w:tcPr>
            <w:tcW w:type="dxa" w:w="3312"/>
            <w:tcMar>
              <w:top w:w="80" w:type="dxa"/>
              <w:bottom w:w="80" w:type="dxa"/>
              <w:left w:w="120" w:type="dxa"/>
              <w:right w:w="120" w:type="dxa"/>
            </w:tcMar>
            <w:shd w:fill="1B4F72"/>
          </w:tcPr>
          <w:p>
            <w:r>
              <w:rPr>
                <w:b/>
                <w:color w:val="FFFFFF"/>
                <w:sz w:val="18"/>
              </w:rPr>
              <w:t>Preprocessed &amp; Selected Dataset</w:t>
            </w:r>
          </w:p>
        </w:tc>
      </w:tr>
      <w:tr>
        <w:tc>
          <w:tcPr>
            <w:tcW w:type="dxa" w:w="3312"/>
            <w:tcMar>
              <w:top w:w="80" w:type="dxa"/>
              <w:bottom w:w="80" w:type="dxa"/>
              <w:left w:w="120" w:type="dxa"/>
              <w:right w:w="120" w:type="dxa"/>
            </w:tcMar>
            <w:shd w:fill="F8F9F9"/>
          </w:tcPr>
          <w:p>
            <w:r>
              <w:rPr>
                <w:sz w:val="17"/>
              </w:rPr>
              <w:t>Total Patient Records</w:t>
            </w:r>
          </w:p>
        </w:tc>
        <w:tc>
          <w:tcPr>
            <w:tcW w:type="dxa" w:w="3312"/>
            <w:tcMar>
              <w:top w:w="80" w:type="dxa"/>
              <w:bottom w:w="80" w:type="dxa"/>
              <w:left w:w="120" w:type="dxa"/>
              <w:right w:w="120" w:type="dxa"/>
            </w:tcMar>
            <w:shd w:fill="F8F9F9"/>
          </w:tcPr>
          <w:p>
            <w:r>
              <w:rPr>
                <w:sz w:val="17"/>
              </w:rPr>
              <w:t>211 cases</w:t>
            </w:r>
          </w:p>
        </w:tc>
        <w:tc>
          <w:tcPr>
            <w:tcW w:type="dxa" w:w="3312"/>
            <w:tcMar>
              <w:top w:w="80" w:type="dxa"/>
              <w:bottom w:w="80" w:type="dxa"/>
              <w:left w:w="120" w:type="dxa"/>
              <w:right w:w="120" w:type="dxa"/>
            </w:tcMar>
            <w:shd w:fill="F8F9F9"/>
          </w:tcPr>
          <w:p>
            <w:r>
              <w:rPr>
                <w:sz w:val="17"/>
              </w:rPr>
              <w:t>211 cases (Expanded via SMOTE on train split)</w:t>
            </w:r>
          </w:p>
        </w:tc>
      </w:tr>
      <w:tr>
        <w:tc>
          <w:tcPr>
            <w:tcW w:type="dxa" w:w="3312"/>
            <w:tcMar>
              <w:top w:w="80" w:type="dxa"/>
              <w:bottom w:w="80" w:type="dxa"/>
              <w:left w:w="120" w:type="dxa"/>
              <w:right w:w="120" w:type="dxa"/>
            </w:tcMar>
            <w:shd w:fill="FFFFFF"/>
          </w:tcPr>
          <w:p>
            <w:r>
              <w:rPr>
                <w:sz w:val="17"/>
              </w:rPr>
              <w:t>Feature Count</w:t>
            </w:r>
          </w:p>
        </w:tc>
        <w:tc>
          <w:tcPr>
            <w:tcW w:type="dxa" w:w="3312"/>
            <w:tcMar>
              <w:top w:w="80" w:type="dxa"/>
              <w:bottom w:w="80" w:type="dxa"/>
              <w:left w:w="120" w:type="dxa"/>
              <w:right w:w="120" w:type="dxa"/>
            </w:tcMar>
            <w:shd w:fill="FFFFFF"/>
          </w:tcPr>
          <w:p>
            <w:r>
              <w:rPr>
                <w:sz w:val="17"/>
              </w:rPr>
              <w:t>48 raw fields</w:t>
            </w:r>
          </w:p>
        </w:tc>
        <w:tc>
          <w:tcPr>
            <w:tcW w:type="dxa" w:w="3312"/>
            <w:tcMar>
              <w:top w:w="80" w:type="dxa"/>
              <w:bottom w:w="80" w:type="dxa"/>
              <w:left w:w="120" w:type="dxa"/>
              <w:right w:w="120" w:type="dxa"/>
            </w:tcMar>
            <w:shd w:fill="FFFFFF"/>
          </w:tcPr>
          <w:p>
            <w:r>
              <w:rPr>
                <w:sz w:val="17"/>
              </w:rPr>
              <w:t>28 ANOVA-ranked non-collinear features</w:t>
            </w:r>
          </w:p>
        </w:tc>
      </w:tr>
      <w:tr>
        <w:tc>
          <w:tcPr>
            <w:tcW w:type="dxa" w:w="3312"/>
            <w:tcMar>
              <w:top w:w="80" w:type="dxa"/>
              <w:bottom w:w="80" w:type="dxa"/>
              <w:left w:w="120" w:type="dxa"/>
              <w:right w:w="120" w:type="dxa"/>
            </w:tcMar>
            <w:shd w:fill="F8F9F9"/>
          </w:tcPr>
          <w:p>
            <w:r>
              <w:rPr>
                <w:sz w:val="17"/>
              </w:rPr>
              <w:t>Target Variable</w:t>
            </w:r>
          </w:p>
        </w:tc>
        <w:tc>
          <w:tcPr>
            <w:tcW w:type="dxa" w:w="3312"/>
            <w:tcMar>
              <w:top w:w="80" w:type="dxa"/>
              <w:bottom w:w="80" w:type="dxa"/>
              <w:left w:w="120" w:type="dxa"/>
              <w:right w:w="120" w:type="dxa"/>
            </w:tcMar>
            <w:shd w:fill="F8F9F9"/>
          </w:tcPr>
          <w:p>
            <w:r>
              <w:rPr>
                <w:sz w:val="17"/>
              </w:rPr>
              <w:t>Binary (Monkeypox vs. Negative)</w:t>
            </w:r>
          </w:p>
        </w:tc>
        <w:tc>
          <w:tcPr>
            <w:tcW w:type="dxa" w:w="3312"/>
            <w:tcMar>
              <w:top w:w="80" w:type="dxa"/>
              <w:bottom w:w="80" w:type="dxa"/>
              <w:left w:w="120" w:type="dxa"/>
              <w:right w:w="120" w:type="dxa"/>
            </w:tcMar>
            <w:shd w:fill="F8F9F9"/>
          </w:tcPr>
          <w:p>
            <w:r>
              <w:rPr>
                <w:sz w:val="17"/>
              </w:rPr>
              <w:t>Binary (Class 1 vs. Class 0)</w:t>
            </w:r>
          </w:p>
        </w:tc>
      </w:tr>
      <w:tr>
        <w:tc>
          <w:tcPr>
            <w:tcW w:type="dxa" w:w="3312"/>
            <w:tcMar>
              <w:top w:w="80" w:type="dxa"/>
              <w:bottom w:w="80" w:type="dxa"/>
              <w:left w:w="120" w:type="dxa"/>
              <w:right w:w="120" w:type="dxa"/>
            </w:tcMar>
            <w:shd w:fill="FFFFFF"/>
          </w:tcPr>
          <w:p>
            <w:r>
              <w:rPr>
                <w:sz w:val="17"/>
              </w:rPr>
              <w:t>Correlation Pruning</w:t>
            </w:r>
          </w:p>
        </w:tc>
        <w:tc>
          <w:tcPr>
            <w:tcW w:type="dxa" w:w="3312"/>
            <w:tcMar>
              <w:top w:w="80" w:type="dxa"/>
              <w:bottom w:w="80" w:type="dxa"/>
              <w:left w:w="120" w:type="dxa"/>
              <w:right w:w="120" w:type="dxa"/>
            </w:tcMar>
            <w:shd w:fill="FFFFFF"/>
          </w:tcPr>
          <w:p>
            <w:r>
              <w:rPr>
                <w:sz w:val="17"/>
              </w:rPr>
              <w:t>None (Collinear symptoms present)</w:t>
            </w:r>
          </w:p>
        </w:tc>
        <w:tc>
          <w:tcPr>
            <w:tcW w:type="dxa" w:w="3312"/>
            <w:tcMar>
              <w:top w:w="80" w:type="dxa"/>
              <w:bottom w:w="80" w:type="dxa"/>
              <w:left w:w="120" w:type="dxa"/>
              <w:right w:w="120" w:type="dxa"/>
            </w:tcMar>
            <w:shd w:fill="FFFFFF"/>
          </w:tcPr>
          <w:p>
            <w:r>
              <w:rPr>
                <w:sz w:val="17"/>
              </w:rPr>
              <w:t>Pearson r &lt; 0.95 threshold applied</w:t>
            </w:r>
          </w:p>
        </w:tc>
      </w:tr>
      <w:tr>
        <w:tc>
          <w:tcPr>
            <w:tcW w:type="dxa" w:w="3312"/>
            <w:tcMar>
              <w:top w:w="80" w:type="dxa"/>
              <w:bottom w:w="80" w:type="dxa"/>
              <w:left w:w="120" w:type="dxa"/>
              <w:right w:w="120" w:type="dxa"/>
            </w:tcMar>
            <w:shd w:fill="F8F9F9"/>
          </w:tcPr>
          <w:p>
            <w:r>
              <w:rPr>
                <w:sz w:val="17"/>
              </w:rPr>
              <w:t>Top Selected Symptoms</w:t>
            </w:r>
          </w:p>
        </w:tc>
        <w:tc>
          <w:tcPr>
            <w:tcW w:type="dxa" w:w="3312"/>
            <w:tcMar>
              <w:top w:w="80" w:type="dxa"/>
              <w:bottom w:w="80" w:type="dxa"/>
              <w:left w:w="120" w:type="dxa"/>
              <w:right w:w="120" w:type="dxa"/>
            </w:tcMar>
            <w:shd w:fill="F8F9F9"/>
          </w:tcPr>
          <w:p>
            <w:r>
              <w:rPr>
                <w:sz w:val="17"/>
              </w:rPr>
              <w:t>All reported symptoms</w:t>
            </w:r>
          </w:p>
        </w:tc>
        <w:tc>
          <w:tcPr>
            <w:tcW w:type="dxa" w:w="3312"/>
            <w:tcMar>
              <w:top w:w="80" w:type="dxa"/>
              <w:bottom w:w="80" w:type="dxa"/>
              <w:left w:w="120" w:type="dxa"/>
              <w:right w:w="120" w:type="dxa"/>
            </w:tcMar>
            <w:shd w:fill="F8F9F9"/>
          </w:tcPr>
          <w:p>
            <w:r>
              <w:rPr>
                <w:sz w:val="17"/>
              </w:rPr>
              <w:t>Fever, Oral/Genital Ulcers, Rash, Lymphadenopathy, Skin Lesions</w:t>
            </w:r>
          </w:p>
        </w:tc>
      </w:tr>
    </w:tbl>
    <w:p/>
    <w:p>
      <w:r>
        <w:rPr>
          <w:b/>
        </w:rPr>
        <w:t>Table 2: Clinical Model (Model B) evaluation metrics on holdout test partition (N = 270)</w:t>
      </w:r>
    </w:p>
    <w:tbl>
      <w:tblPr>
        <w:tblW w:type="auto" w:w="0"/>
        <w:jc w:val="center"/>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1B4F72"/>
          </w:tcPr>
          <w:p>
            <w:r>
              <w:rPr>
                <w:b/>
                <w:color w:val="FFFFFF"/>
                <w:sz w:val="18"/>
              </w:rPr>
              <w:t>Metric</w:t>
            </w:r>
          </w:p>
        </w:tc>
        <w:tc>
          <w:tcPr>
            <w:tcW w:type="dxa" w:w="4968"/>
            <w:tcMar>
              <w:top w:w="80" w:type="dxa"/>
              <w:bottom w:w="80" w:type="dxa"/>
              <w:left w:w="120" w:type="dxa"/>
              <w:right w:w="120" w:type="dxa"/>
            </w:tcMar>
            <w:shd w:fill="1B4F72"/>
          </w:tcPr>
          <w:p>
            <w:r>
              <w:rPr>
                <w:b/>
                <w:color w:val="FFFFFF"/>
                <w:sz w:val="18"/>
              </w:rPr>
              <w:t>Value</w:t>
            </w:r>
          </w:p>
        </w:tc>
      </w:tr>
      <w:tr>
        <w:tc>
          <w:tcPr>
            <w:tcW w:type="dxa" w:w="4968"/>
            <w:tcMar>
              <w:top w:w="80" w:type="dxa"/>
              <w:bottom w:w="80" w:type="dxa"/>
              <w:left w:w="120" w:type="dxa"/>
              <w:right w:w="120" w:type="dxa"/>
            </w:tcMar>
            <w:shd w:fill="F8F9F9"/>
          </w:tcPr>
          <w:p>
            <w:r>
              <w:rPr>
                <w:sz w:val="17"/>
              </w:rPr>
              <w:t>Accuracy</w:t>
            </w:r>
          </w:p>
        </w:tc>
        <w:tc>
          <w:tcPr>
            <w:tcW w:type="dxa" w:w="4968"/>
            <w:tcMar>
              <w:top w:w="80" w:type="dxa"/>
              <w:bottom w:w="80" w:type="dxa"/>
              <w:left w:w="120" w:type="dxa"/>
              <w:right w:w="120" w:type="dxa"/>
            </w:tcMar>
            <w:shd w:fill="F8F9F9"/>
          </w:tcPr>
          <w:p>
            <w:r>
              <w:rPr>
                <w:sz w:val="17"/>
              </w:rPr>
              <w:t>95.19%</w:t>
            </w:r>
          </w:p>
        </w:tc>
      </w:tr>
      <w:tr>
        <w:tc>
          <w:tcPr>
            <w:tcW w:type="dxa" w:w="4968"/>
            <w:tcMar>
              <w:top w:w="80" w:type="dxa"/>
              <w:bottom w:w="80" w:type="dxa"/>
              <w:left w:w="120" w:type="dxa"/>
              <w:right w:w="120" w:type="dxa"/>
            </w:tcMar>
            <w:shd w:fill="FFFFFF"/>
          </w:tcPr>
          <w:p>
            <w:r>
              <w:rPr>
                <w:sz w:val="17"/>
              </w:rPr>
              <w:t>Balanced Accuracy</w:t>
            </w:r>
          </w:p>
        </w:tc>
        <w:tc>
          <w:tcPr>
            <w:tcW w:type="dxa" w:w="4968"/>
            <w:tcMar>
              <w:top w:w="80" w:type="dxa"/>
              <w:bottom w:w="80" w:type="dxa"/>
              <w:left w:w="120" w:type="dxa"/>
              <w:right w:w="120" w:type="dxa"/>
            </w:tcMar>
            <w:shd w:fill="FFFFFF"/>
          </w:tcPr>
          <w:p>
            <w:r>
              <w:rPr>
                <w:sz w:val="17"/>
              </w:rPr>
              <w:t>87.50%</w:t>
            </w:r>
          </w:p>
        </w:tc>
      </w:tr>
      <w:tr>
        <w:tc>
          <w:tcPr>
            <w:tcW w:type="dxa" w:w="4968"/>
            <w:tcMar>
              <w:top w:w="80" w:type="dxa"/>
              <w:bottom w:w="80" w:type="dxa"/>
              <w:left w:w="120" w:type="dxa"/>
              <w:right w:w="120" w:type="dxa"/>
            </w:tcMar>
            <w:shd w:fill="F8F9F9"/>
          </w:tcPr>
          <w:p>
            <w:r>
              <w:rPr>
                <w:sz w:val="17"/>
              </w:rPr>
              <w:t>Precision (Monkeypox)</w:t>
            </w:r>
          </w:p>
        </w:tc>
        <w:tc>
          <w:tcPr>
            <w:tcW w:type="dxa" w:w="4968"/>
            <w:tcMar>
              <w:top w:w="80" w:type="dxa"/>
              <w:bottom w:w="80" w:type="dxa"/>
              <w:left w:w="120" w:type="dxa"/>
              <w:right w:w="120" w:type="dxa"/>
            </w:tcMar>
            <w:shd w:fill="F8F9F9"/>
          </w:tcPr>
          <w:p>
            <w:r>
              <w:rPr>
                <w:sz w:val="17"/>
              </w:rPr>
              <w:t>100.00%</w:t>
            </w:r>
          </w:p>
        </w:tc>
      </w:tr>
      <w:tr>
        <w:tc>
          <w:tcPr>
            <w:tcW w:type="dxa" w:w="4968"/>
            <w:tcMar>
              <w:top w:w="80" w:type="dxa"/>
              <w:bottom w:w="80" w:type="dxa"/>
              <w:left w:w="120" w:type="dxa"/>
              <w:right w:w="120" w:type="dxa"/>
            </w:tcMar>
            <w:shd w:fill="FFFFFF"/>
          </w:tcPr>
          <w:p>
            <w:r>
              <w:rPr>
                <w:sz w:val="17"/>
              </w:rPr>
              <w:t>Recall / Sensitivity (Monkeypox)</w:t>
            </w:r>
          </w:p>
        </w:tc>
        <w:tc>
          <w:tcPr>
            <w:tcW w:type="dxa" w:w="4968"/>
            <w:tcMar>
              <w:top w:w="80" w:type="dxa"/>
              <w:bottom w:w="80" w:type="dxa"/>
              <w:left w:w="120" w:type="dxa"/>
              <w:right w:w="120" w:type="dxa"/>
            </w:tcMar>
            <w:shd w:fill="FFFFFF"/>
          </w:tcPr>
          <w:p>
            <w:r>
              <w:rPr>
                <w:sz w:val="17"/>
              </w:rPr>
              <w:t>75.00%</w:t>
            </w:r>
          </w:p>
        </w:tc>
      </w:tr>
      <w:tr>
        <w:tc>
          <w:tcPr>
            <w:tcW w:type="dxa" w:w="4968"/>
            <w:tcMar>
              <w:top w:w="80" w:type="dxa"/>
              <w:bottom w:w="80" w:type="dxa"/>
              <w:left w:w="120" w:type="dxa"/>
              <w:right w:w="120" w:type="dxa"/>
            </w:tcMar>
            <w:shd w:fill="F8F9F9"/>
          </w:tcPr>
          <w:p>
            <w:r>
              <w:rPr>
                <w:sz w:val="17"/>
              </w:rPr>
              <w:t>Specificity (Non-Monkeypox)</w:t>
            </w:r>
          </w:p>
        </w:tc>
        <w:tc>
          <w:tcPr>
            <w:tcW w:type="dxa" w:w="4968"/>
            <w:tcMar>
              <w:top w:w="80" w:type="dxa"/>
              <w:bottom w:w="80" w:type="dxa"/>
              <w:left w:w="120" w:type="dxa"/>
              <w:right w:w="120" w:type="dxa"/>
            </w:tcMar>
            <w:shd w:fill="F8F9F9"/>
          </w:tcPr>
          <w:p>
            <w:r>
              <w:rPr>
                <w:sz w:val="17"/>
              </w:rPr>
              <w:t>100.00%</w:t>
            </w:r>
          </w:p>
        </w:tc>
      </w:tr>
      <w:tr>
        <w:tc>
          <w:tcPr>
            <w:tcW w:type="dxa" w:w="4968"/>
            <w:tcMar>
              <w:top w:w="80" w:type="dxa"/>
              <w:bottom w:w="80" w:type="dxa"/>
              <w:left w:w="120" w:type="dxa"/>
              <w:right w:w="120" w:type="dxa"/>
            </w:tcMar>
            <w:shd w:fill="FFFFFF"/>
          </w:tcPr>
          <w:p>
            <w:r>
              <w:rPr>
                <w:sz w:val="17"/>
              </w:rPr>
              <w:t>Mpox F1-Score</w:t>
            </w:r>
          </w:p>
        </w:tc>
        <w:tc>
          <w:tcPr>
            <w:tcW w:type="dxa" w:w="4968"/>
            <w:tcMar>
              <w:top w:w="80" w:type="dxa"/>
              <w:bottom w:w="80" w:type="dxa"/>
              <w:left w:w="120" w:type="dxa"/>
              <w:right w:w="120" w:type="dxa"/>
            </w:tcMar>
            <w:shd w:fill="FFFFFF"/>
          </w:tcPr>
          <w:p>
            <w:r>
              <w:rPr>
                <w:sz w:val="17"/>
              </w:rPr>
              <w:t>85.71%</w:t>
            </w:r>
          </w:p>
        </w:tc>
      </w:tr>
      <w:tr>
        <w:tc>
          <w:tcPr>
            <w:tcW w:type="dxa" w:w="4968"/>
            <w:tcMar>
              <w:top w:w="80" w:type="dxa"/>
              <w:bottom w:w="80" w:type="dxa"/>
              <w:left w:w="120" w:type="dxa"/>
              <w:right w:w="120" w:type="dxa"/>
            </w:tcMar>
            <w:shd w:fill="F8F9F9"/>
          </w:tcPr>
          <w:p>
            <w:r>
              <w:rPr>
                <w:sz w:val="17"/>
              </w:rPr>
              <w:t>ROC-AUC</w:t>
            </w:r>
          </w:p>
        </w:tc>
        <w:tc>
          <w:tcPr>
            <w:tcW w:type="dxa" w:w="4968"/>
            <w:tcMar>
              <w:top w:w="80" w:type="dxa"/>
              <w:bottom w:w="80" w:type="dxa"/>
              <w:left w:w="120" w:type="dxa"/>
              <w:right w:w="120" w:type="dxa"/>
            </w:tcMar>
            <w:shd w:fill="F8F9F9"/>
          </w:tcPr>
          <w:p>
            <w:r>
              <w:rPr>
                <w:sz w:val="17"/>
              </w:rPr>
              <w:t>97.13%</w:t>
            </w:r>
          </w:p>
        </w:tc>
      </w:tr>
    </w:tbl>
    <w:p/>
    <w:p>
      <w:r>
        <w:rPr>
          <w:b/>
        </w:rPr>
        <w:t>Table 3: Computer Vision Backbones Benchmark on Holdout Test Partition (N = 270)</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80" w:type="dxa"/>
              <w:bottom w:w="80" w:type="dxa"/>
              <w:left w:w="100" w:type="dxa"/>
              <w:right w:w="100" w:type="dxa"/>
            </w:tcMar>
            <w:shd w:fill="1B4F72"/>
          </w:tcPr>
          <w:p>
            <w:r>
              <w:rPr>
                <w:b/>
                <w:color w:val="FFFFFF"/>
                <w:sz w:val="17"/>
              </w:rPr>
              <w:t>Architecture</w:t>
            </w:r>
          </w:p>
        </w:tc>
        <w:tc>
          <w:tcPr>
            <w:tcW w:type="dxa" w:w="1242"/>
            <w:tcMar>
              <w:top w:w="80" w:type="dxa"/>
              <w:bottom w:w="80" w:type="dxa"/>
              <w:left w:w="100" w:type="dxa"/>
              <w:right w:w="100" w:type="dxa"/>
            </w:tcMar>
            <w:shd w:fill="1B4F72"/>
          </w:tcPr>
          <w:p>
            <w:r>
              <w:rPr>
                <w:b/>
                <w:color w:val="FFFFFF"/>
                <w:sz w:val="17"/>
              </w:rPr>
              <w:t>Params</w:t>
            </w:r>
          </w:p>
        </w:tc>
        <w:tc>
          <w:tcPr>
            <w:tcW w:type="dxa" w:w="1242"/>
            <w:tcMar>
              <w:top w:w="80" w:type="dxa"/>
              <w:bottom w:w="80" w:type="dxa"/>
              <w:left w:w="100" w:type="dxa"/>
              <w:right w:w="100" w:type="dxa"/>
            </w:tcMar>
            <w:shd w:fill="1B4F72"/>
          </w:tcPr>
          <w:p>
            <w:r>
              <w:rPr>
                <w:b/>
                <w:color w:val="FFFFFF"/>
                <w:sz w:val="17"/>
              </w:rPr>
              <w:t>Accuracy</w:t>
            </w:r>
          </w:p>
        </w:tc>
        <w:tc>
          <w:tcPr>
            <w:tcW w:type="dxa" w:w="1242"/>
            <w:tcMar>
              <w:top w:w="80" w:type="dxa"/>
              <w:bottom w:w="80" w:type="dxa"/>
              <w:left w:w="100" w:type="dxa"/>
              <w:right w:w="100" w:type="dxa"/>
            </w:tcMar>
            <w:shd w:fill="1B4F72"/>
          </w:tcPr>
          <w:p>
            <w:r>
              <w:rPr>
                <w:b/>
                <w:color w:val="FFFFFF"/>
                <w:sz w:val="17"/>
              </w:rPr>
              <w:t>Recall</w:t>
            </w:r>
          </w:p>
        </w:tc>
        <w:tc>
          <w:tcPr>
            <w:tcW w:type="dxa" w:w="1242"/>
            <w:tcMar>
              <w:top w:w="80" w:type="dxa"/>
              <w:bottom w:w="80" w:type="dxa"/>
              <w:left w:w="100" w:type="dxa"/>
              <w:right w:w="100" w:type="dxa"/>
            </w:tcMar>
            <w:shd w:fill="1B4F72"/>
          </w:tcPr>
          <w:p>
            <w:r>
              <w:rPr>
                <w:b/>
                <w:color w:val="FFFFFF"/>
                <w:sz w:val="17"/>
              </w:rPr>
              <w:t>Specificity</w:t>
            </w:r>
          </w:p>
        </w:tc>
        <w:tc>
          <w:tcPr>
            <w:tcW w:type="dxa" w:w="1242"/>
            <w:tcMar>
              <w:top w:w="80" w:type="dxa"/>
              <w:bottom w:w="80" w:type="dxa"/>
              <w:left w:w="100" w:type="dxa"/>
              <w:right w:w="100" w:type="dxa"/>
            </w:tcMar>
            <w:shd w:fill="1B4F72"/>
          </w:tcPr>
          <w:p>
            <w:r>
              <w:rPr>
                <w:b/>
                <w:color w:val="FFFFFF"/>
                <w:sz w:val="17"/>
              </w:rPr>
              <w:t>F1-Score</w:t>
            </w:r>
          </w:p>
        </w:tc>
        <w:tc>
          <w:tcPr>
            <w:tcW w:type="dxa" w:w="1242"/>
            <w:tcMar>
              <w:top w:w="80" w:type="dxa"/>
              <w:bottom w:w="80" w:type="dxa"/>
              <w:left w:w="100" w:type="dxa"/>
              <w:right w:w="100" w:type="dxa"/>
            </w:tcMar>
            <w:shd w:fill="1B4F72"/>
          </w:tcPr>
          <w:p>
            <w:r>
              <w:rPr>
                <w:b/>
                <w:color w:val="FFFFFF"/>
                <w:sz w:val="17"/>
              </w:rPr>
              <w:t>ROC-AUC</w:t>
            </w:r>
          </w:p>
        </w:tc>
        <w:tc>
          <w:tcPr>
            <w:tcW w:type="dxa" w:w="1242"/>
            <w:tcMar>
              <w:top w:w="80" w:type="dxa"/>
              <w:bottom w:w="80" w:type="dxa"/>
              <w:left w:w="100" w:type="dxa"/>
              <w:right w:w="100" w:type="dxa"/>
            </w:tcMar>
            <w:shd w:fill="1B4F72"/>
          </w:tcPr>
          <w:p>
            <w:r>
              <w:rPr>
                <w:b/>
                <w:color w:val="FFFFFF"/>
                <w:sz w:val="17"/>
              </w:rPr>
              <w:t>Latency</w:t>
            </w:r>
          </w:p>
        </w:tc>
      </w:tr>
      <w:tr>
        <w:tc>
          <w:tcPr>
            <w:tcW w:type="dxa" w:w="1242"/>
            <w:tcMar>
              <w:top w:w="80" w:type="dxa"/>
              <w:bottom w:w="80" w:type="dxa"/>
              <w:left w:w="100" w:type="dxa"/>
              <w:right w:w="100" w:type="dxa"/>
            </w:tcMar>
            <w:shd w:fill="F8F9F9"/>
          </w:tcPr>
          <w:p>
            <w:r>
              <w:rPr>
                <w:sz w:val="16"/>
              </w:rPr>
              <w:t>ResNet-50 (Selected)</w:t>
            </w:r>
          </w:p>
        </w:tc>
        <w:tc>
          <w:tcPr>
            <w:tcW w:type="dxa" w:w="1242"/>
            <w:tcMar>
              <w:top w:w="80" w:type="dxa"/>
              <w:bottom w:w="80" w:type="dxa"/>
              <w:left w:w="100" w:type="dxa"/>
              <w:right w:w="100" w:type="dxa"/>
            </w:tcMar>
            <w:shd w:fill="F8F9F9"/>
          </w:tcPr>
          <w:p>
            <w:r>
              <w:rPr>
                <w:sz w:val="16"/>
              </w:rPr>
              <w:t>25.6M</w:t>
            </w:r>
          </w:p>
        </w:tc>
        <w:tc>
          <w:tcPr>
            <w:tcW w:type="dxa" w:w="1242"/>
            <w:tcMar>
              <w:top w:w="80" w:type="dxa"/>
              <w:bottom w:w="80" w:type="dxa"/>
              <w:left w:w="100" w:type="dxa"/>
              <w:right w:w="100" w:type="dxa"/>
            </w:tcMar>
            <w:shd w:fill="F8F9F9"/>
          </w:tcPr>
          <w:p>
            <w:r>
              <w:rPr>
                <w:sz w:val="16"/>
              </w:rPr>
              <w:t>86.67%</w:t>
            </w:r>
          </w:p>
        </w:tc>
        <w:tc>
          <w:tcPr>
            <w:tcW w:type="dxa" w:w="1242"/>
            <w:tcMar>
              <w:top w:w="80" w:type="dxa"/>
              <w:bottom w:w="80" w:type="dxa"/>
              <w:left w:w="100" w:type="dxa"/>
              <w:right w:w="100" w:type="dxa"/>
            </w:tcMar>
            <w:shd w:fill="F8F9F9"/>
          </w:tcPr>
          <w:p>
            <w:r>
              <w:rPr>
                <w:sz w:val="16"/>
              </w:rPr>
              <w:t>75.00%</w:t>
            </w:r>
          </w:p>
        </w:tc>
        <w:tc>
          <w:tcPr>
            <w:tcW w:type="dxa" w:w="1242"/>
            <w:tcMar>
              <w:top w:w="80" w:type="dxa"/>
              <w:bottom w:w="80" w:type="dxa"/>
              <w:left w:w="100" w:type="dxa"/>
              <w:right w:w="100" w:type="dxa"/>
            </w:tcMar>
            <w:shd w:fill="F8F9F9"/>
          </w:tcPr>
          <w:p>
            <w:r>
              <w:rPr>
                <w:sz w:val="16"/>
              </w:rPr>
              <w:t>89.45%</w:t>
            </w:r>
          </w:p>
        </w:tc>
        <w:tc>
          <w:tcPr>
            <w:tcW w:type="dxa" w:w="1242"/>
            <w:tcMar>
              <w:top w:w="80" w:type="dxa"/>
              <w:bottom w:w="80" w:type="dxa"/>
              <w:left w:w="100" w:type="dxa"/>
              <w:right w:w="100" w:type="dxa"/>
            </w:tcMar>
            <w:shd w:fill="F8F9F9"/>
          </w:tcPr>
          <w:p>
            <w:r>
              <w:rPr>
                <w:sz w:val="16"/>
              </w:rPr>
              <w:t>68.42%</w:t>
            </w:r>
          </w:p>
        </w:tc>
        <w:tc>
          <w:tcPr>
            <w:tcW w:type="dxa" w:w="1242"/>
            <w:tcMar>
              <w:top w:w="80" w:type="dxa"/>
              <w:bottom w:w="80" w:type="dxa"/>
              <w:left w:w="100" w:type="dxa"/>
              <w:right w:w="100" w:type="dxa"/>
            </w:tcMar>
            <w:shd w:fill="F8F9F9"/>
          </w:tcPr>
          <w:p>
            <w:r>
              <w:rPr>
                <w:sz w:val="16"/>
              </w:rPr>
              <w:t>91.97%</w:t>
            </w:r>
          </w:p>
        </w:tc>
        <w:tc>
          <w:tcPr>
            <w:tcW w:type="dxa" w:w="1242"/>
            <w:tcMar>
              <w:top w:w="80" w:type="dxa"/>
              <w:bottom w:w="80" w:type="dxa"/>
              <w:left w:w="100" w:type="dxa"/>
              <w:right w:w="100" w:type="dxa"/>
            </w:tcMar>
            <w:shd w:fill="F8F9F9"/>
          </w:tcPr>
          <w:p>
            <w:r>
              <w:rPr>
                <w:sz w:val="16"/>
              </w:rPr>
              <w:t>5.78 ms</w:t>
            </w:r>
          </w:p>
        </w:tc>
      </w:tr>
      <w:tr>
        <w:tc>
          <w:tcPr>
            <w:tcW w:type="dxa" w:w="1242"/>
            <w:tcMar>
              <w:top w:w="80" w:type="dxa"/>
              <w:bottom w:w="80" w:type="dxa"/>
              <w:left w:w="100" w:type="dxa"/>
              <w:right w:w="100" w:type="dxa"/>
            </w:tcMar>
            <w:shd w:fill="FFFFFF"/>
          </w:tcPr>
          <w:p>
            <w:r>
              <w:rPr>
                <w:sz w:val="16"/>
              </w:rPr>
              <w:t>DenseNet-121</w:t>
            </w:r>
          </w:p>
        </w:tc>
        <w:tc>
          <w:tcPr>
            <w:tcW w:type="dxa" w:w="1242"/>
            <w:tcMar>
              <w:top w:w="80" w:type="dxa"/>
              <w:bottom w:w="80" w:type="dxa"/>
              <w:left w:w="100" w:type="dxa"/>
              <w:right w:w="100" w:type="dxa"/>
            </w:tcMar>
            <w:shd w:fill="FFFFFF"/>
          </w:tcPr>
          <w:p>
            <w:r>
              <w:rPr>
                <w:sz w:val="16"/>
              </w:rPr>
              <w:t>8.0M</w:t>
            </w:r>
          </w:p>
        </w:tc>
        <w:tc>
          <w:tcPr>
            <w:tcW w:type="dxa" w:w="1242"/>
            <w:tcMar>
              <w:top w:w="80" w:type="dxa"/>
              <w:bottom w:w="80" w:type="dxa"/>
              <w:left w:w="100" w:type="dxa"/>
              <w:right w:w="100" w:type="dxa"/>
            </w:tcMar>
            <w:shd w:fill="FFFFFF"/>
          </w:tcPr>
          <w:p>
            <w:r>
              <w:rPr>
                <w:sz w:val="16"/>
              </w:rPr>
              <w:t>82.22%</w:t>
            </w:r>
          </w:p>
        </w:tc>
        <w:tc>
          <w:tcPr>
            <w:tcW w:type="dxa" w:w="1242"/>
            <w:tcMar>
              <w:top w:w="80" w:type="dxa"/>
              <w:bottom w:w="80" w:type="dxa"/>
              <w:left w:w="100" w:type="dxa"/>
              <w:right w:w="100" w:type="dxa"/>
            </w:tcMar>
            <w:shd w:fill="FFFFFF"/>
          </w:tcPr>
          <w:p>
            <w:r>
              <w:rPr>
                <w:sz w:val="16"/>
              </w:rPr>
              <w:t>75.00%</w:t>
            </w:r>
          </w:p>
        </w:tc>
        <w:tc>
          <w:tcPr>
            <w:tcW w:type="dxa" w:w="1242"/>
            <w:tcMar>
              <w:top w:w="80" w:type="dxa"/>
              <w:bottom w:w="80" w:type="dxa"/>
              <w:left w:w="100" w:type="dxa"/>
              <w:right w:w="100" w:type="dxa"/>
            </w:tcMar>
            <w:shd w:fill="FFFFFF"/>
          </w:tcPr>
          <w:p>
            <w:r>
              <w:rPr>
                <w:sz w:val="16"/>
              </w:rPr>
              <w:t>83.94%</w:t>
            </w:r>
          </w:p>
        </w:tc>
        <w:tc>
          <w:tcPr>
            <w:tcW w:type="dxa" w:w="1242"/>
            <w:tcMar>
              <w:top w:w="80" w:type="dxa"/>
              <w:bottom w:w="80" w:type="dxa"/>
              <w:left w:w="100" w:type="dxa"/>
              <w:right w:w="100" w:type="dxa"/>
            </w:tcMar>
            <w:shd w:fill="FFFFFF"/>
          </w:tcPr>
          <w:p>
            <w:r>
              <w:rPr>
                <w:sz w:val="16"/>
              </w:rPr>
              <w:t>61.90%</w:t>
            </w:r>
          </w:p>
        </w:tc>
        <w:tc>
          <w:tcPr>
            <w:tcW w:type="dxa" w:w="1242"/>
            <w:tcMar>
              <w:top w:w="80" w:type="dxa"/>
              <w:bottom w:w="80" w:type="dxa"/>
              <w:left w:w="100" w:type="dxa"/>
              <w:right w:w="100" w:type="dxa"/>
            </w:tcMar>
            <w:shd w:fill="FFFFFF"/>
          </w:tcPr>
          <w:p>
            <w:r>
              <w:rPr>
                <w:sz w:val="16"/>
              </w:rPr>
              <w:t>85.97%</w:t>
            </w:r>
          </w:p>
        </w:tc>
        <w:tc>
          <w:tcPr>
            <w:tcW w:type="dxa" w:w="1242"/>
            <w:tcMar>
              <w:top w:w="80" w:type="dxa"/>
              <w:bottom w:w="80" w:type="dxa"/>
              <w:left w:w="100" w:type="dxa"/>
              <w:right w:w="100" w:type="dxa"/>
            </w:tcMar>
            <w:shd w:fill="FFFFFF"/>
          </w:tcPr>
          <w:p>
            <w:r>
              <w:rPr>
                <w:sz w:val="16"/>
              </w:rPr>
              <w:t>6.89 ms</w:t>
            </w:r>
          </w:p>
        </w:tc>
      </w:tr>
      <w:tr>
        <w:tc>
          <w:tcPr>
            <w:tcW w:type="dxa" w:w="1242"/>
            <w:tcMar>
              <w:top w:w="80" w:type="dxa"/>
              <w:bottom w:w="80" w:type="dxa"/>
              <w:left w:w="100" w:type="dxa"/>
              <w:right w:w="100" w:type="dxa"/>
            </w:tcMar>
            <w:shd w:fill="F8F9F9"/>
          </w:tcPr>
          <w:p>
            <w:r>
              <w:rPr>
                <w:sz w:val="16"/>
              </w:rPr>
              <w:t>EfficientNet-B0</w:t>
            </w:r>
          </w:p>
        </w:tc>
        <w:tc>
          <w:tcPr>
            <w:tcW w:type="dxa" w:w="1242"/>
            <w:tcMar>
              <w:top w:w="80" w:type="dxa"/>
              <w:bottom w:w="80" w:type="dxa"/>
              <w:left w:w="100" w:type="dxa"/>
              <w:right w:w="100" w:type="dxa"/>
            </w:tcMar>
            <w:shd w:fill="F8F9F9"/>
          </w:tcPr>
          <w:p>
            <w:r>
              <w:rPr>
                <w:sz w:val="16"/>
              </w:rPr>
              <w:t>5.3M</w:t>
            </w:r>
          </w:p>
        </w:tc>
        <w:tc>
          <w:tcPr>
            <w:tcW w:type="dxa" w:w="1242"/>
            <w:tcMar>
              <w:top w:w="80" w:type="dxa"/>
              <w:bottom w:w="80" w:type="dxa"/>
              <w:left w:w="100" w:type="dxa"/>
              <w:right w:w="100" w:type="dxa"/>
            </w:tcMar>
            <w:shd w:fill="F8F9F9"/>
          </w:tcPr>
          <w:p>
            <w:r>
              <w:rPr>
                <w:sz w:val="16"/>
              </w:rPr>
              <w:t>81.48%</w:t>
            </w:r>
          </w:p>
        </w:tc>
        <w:tc>
          <w:tcPr>
            <w:tcW w:type="dxa" w:w="1242"/>
            <w:tcMar>
              <w:top w:w="80" w:type="dxa"/>
              <w:bottom w:w="80" w:type="dxa"/>
              <w:left w:w="100" w:type="dxa"/>
              <w:right w:w="100" w:type="dxa"/>
            </w:tcMar>
            <w:shd w:fill="F8F9F9"/>
          </w:tcPr>
          <w:p>
            <w:r>
              <w:rPr>
                <w:sz w:val="16"/>
              </w:rPr>
              <w:t>59.62%</w:t>
            </w:r>
          </w:p>
        </w:tc>
        <w:tc>
          <w:tcPr>
            <w:tcW w:type="dxa" w:w="1242"/>
            <w:tcMar>
              <w:top w:w="80" w:type="dxa"/>
              <w:bottom w:w="80" w:type="dxa"/>
              <w:left w:w="100" w:type="dxa"/>
              <w:right w:w="100" w:type="dxa"/>
            </w:tcMar>
            <w:shd w:fill="F8F9F9"/>
          </w:tcPr>
          <w:p>
            <w:r>
              <w:rPr>
                <w:sz w:val="16"/>
              </w:rPr>
              <w:t>86.70%</w:t>
            </w:r>
          </w:p>
        </w:tc>
        <w:tc>
          <w:tcPr>
            <w:tcW w:type="dxa" w:w="1242"/>
            <w:tcMar>
              <w:top w:w="80" w:type="dxa"/>
              <w:bottom w:w="80" w:type="dxa"/>
              <w:left w:w="100" w:type="dxa"/>
              <w:right w:w="100" w:type="dxa"/>
            </w:tcMar>
            <w:shd w:fill="F8F9F9"/>
          </w:tcPr>
          <w:p>
            <w:r>
              <w:rPr>
                <w:sz w:val="16"/>
              </w:rPr>
              <w:t>55.36%</w:t>
            </w:r>
          </w:p>
        </w:tc>
        <w:tc>
          <w:tcPr>
            <w:tcW w:type="dxa" w:w="1242"/>
            <w:tcMar>
              <w:top w:w="80" w:type="dxa"/>
              <w:bottom w:w="80" w:type="dxa"/>
              <w:left w:w="100" w:type="dxa"/>
              <w:right w:w="100" w:type="dxa"/>
            </w:tcMar>
            <w:shd w:fill="F8F9F9"/>
          </w:tcPr>
          <w:p>
            <w:r>
              <w:rPr>
                <w:sz w:val="16"/>
              </w:rPr>
              <w:t>86.53%</w:t>
            </w:r>
          </w:p>
        </w:tc>
        <w:tc>
          <w:tcPr>
            <w:tcW w:type="dxa" w:w="1242"/>
            <w:tcMar>
              <w:top w:w="80" w:type="dxa"/>
              <w:bottom w:w="80" w:type="dxa"/>
              <w:left w:w="100" w:type="dxa"/>
              <w:right w:w="100" w:type="dxa"/>
            </w:tcMar>
            <w:shd w:fill="F8F9F9"/>
          </w:tcPr>
          <w:p>
            <w:r>
              <w:rPr>
                <w:sz w:val="16"/>
              </w:rPr>
              <w:t>50.97 ms</w:t>
            </w:r>
          </w:p>
        </w:tc>
      </w:tr>
      <w:tr>
        <w:tc>
          <w:tcPr>
            <w:tcW w:type="dxa" w:w="1242"/>
            <w:tcMar>
              <w:top w:w="80" w:type="dxa"/>
              <w:bottom w:w="80" w:type="dxa"/>
              <w:left w:w="100" w:type="dxa"/>
              <w:right w:w="100" w:type="dxa"/>
            </w:tcMar>
            <w:shd w:fill="FFFFFF"/>
          </w:tcPr>
          <w:p>
            <w:r>
              <w:rPr>
                <w:sz w:val="16"/>
              </w:rPr>
              <w:t>MobileNet-V3-Small</w:t>
            </w:r>
          </w:p>
        </w:tc>
        <w:tc>
          <w:tcPr>
            <w:tcW w:type="dxa" w:w="1242"/>
            <w:tcMar>
              <w:top w:w="80" w:type="dxa"/>
              <w:bottom w:w="80" w:type="dxa"/>
              <w:left w:w="100" w:type="dxa"/>
              <w:right w:w="100" w:type="dxa"/>
            </w:tcMar>
            <w:shd w:fill="FFFFFF"/>
          </w:tcPr>
          <w:p>
            <w:r>
              <w:rPr>
                <w:sz w:val="16"/>
              </w:rPr>
              <w:t>2.5M</w:t>
            </w:r>
          </w:p>
        </w:tc>
        <w:tc>
          <w:tcPr>
            <w:tcW w:type="dxa" w:w="1242"/>
            <w:tcMar>
              <w:top w:w="80" w:type="dxa"/>
              <w:bottom w:w="80" w:type="dxa"/>
              <w:left w:w="100" w:type="dxa"/>
              <w:right w:w="100" w:type="dxa"/>
            </w:tcMar>
            <w:shd w:fill="FFFFFF"/>
          </w:tcPr>
          <w:p>
            <w:r>
              <w:rPr>
                <w:sz w:val="16"/>
              </w:rPr>
              <w:t>81.85%</w:t>
            </w:r>
          </w:p>
        </w:tc>
        <w:tc>
          <w:tcPr>
            <w:tcW w:type="dxa" w:w="1242"/>
            <w:tcMar>
              <w:top w:w="80" w:type="dxa"/>
              <w:bottom w:w="80" w:type="dxa"/>
              <w:left w:w="100" w:type="dxa"/>
              <w:right w:w="100" w:type="dxa"/>
            </w:tcMar>
            <w:shd w:fill="FFFFFF"/>
          </w:tcPr>
          <w:p>
            <w:r>
              <w:rPr>
                <w:sz w:val="16"/>
              </w:rPr>
              <w:t>44.23%</w:t>
            </w:r>
          </w:p>
        </w:tc>
        <w:tc>
          <w:tcPr>
            <w:tcW w:type="dxa" w:w="1242"/>
            <w:tcMar>
              <w:top w:w="80" w:type="dxa"/>
              <w:bottom w:w="80" w:type="dxa"/>
              <w:left w:w="100" w:type="dxa"/>
              <w:right w:w="100" w:type="dxa"/>
            </w:tcMar>
            <w:shd w:fill="FFFFFF"/>
          </w:tcPr>
          <w:p>
            <w:r>
              <w:rPr>
                <w:sz w:val="16"/>
              </w:rPr>
              <w:t>90.83%</w:t>
            </w:r>
          </w:p>
        </w:tc>
        <w:tc>
          <w:tcPr>
            <w:tcW w:type="dxa" w:w="1242"/>
            <w:tcMar>
              <w:top w:w="80" w:type="dxa"/>
              <w:bottom w:w="80" w:type="dxa"/>
              <w:left w:w="100" w:type="dxa"/>
              <w:right w:w="100" w:type="dxa"/>
            </w:tcMar>
            <w:shd w:fill="FFFFFF"/>
          </w:tcPr>
          <w:p>
            <w:r>
              <w:rPr>
                <w:sz w:val="16"/>
              </w:rPr>
              <w:t>48.42%</w:t>
            </w:r>
          </w:p>
        </w:tc>
        <w:tc>
          <w:tcPr>
            <w:tcW w:type="dxa" w:w="1242"/>
            <w:tcMar>
              <w:top w:w="80" w:type="dxa"/>
              <w:bottom w:w="80" w:type="dxa"/>
              <w:left w:w="100" w:type="dxa"/>
              <w:right w:w="100" w:type="dxa"/>
            </w:tcMar>
            <w:shd w:fill="FFFFFF"/>
          </w:tcPr>
          <w:p>
            <w:r>
              <w:rPr>
                <w:sz w:val="16"/>
              </w:rPr>
              <w:t>81.69%</w:t>
            </w:r>
          </w:p>
        </w:tc>
        <w:tc>
          <w:tcPr>
            <w:tcW w:type="dxa" w:w="1242"/>
            <w:tcMar>
              <w:top w:w="80" w:type="dxa"/>
              <w:bottom w:w="80" w:type="dxa"/>
              <w:left w:w="100" w:type="dxa"/>
              <w:right w:w="100" w:type="dxa"/>
            </w:tcMar>
            <w:shd w:fill="FFFFFF"/>
          </w:tcPr>
          <w:p>
            <w:r>
              <w:rPr>
                <w:sz w:val="16"/>
              </w:rPr>
              <w:t>2.04 ms</w:t>
            </w:r>
          </w:p>
        </w:tc>
      </w:tr>
    </w:tbl>
    <w:p/>
    <w:p>
      <w:r>
        <w:rPr>
          <w:b/>
        </w:rPr>
        <w:t>Table 4: Multimodal Model (Model C: ResNet-50 + Clinical MLP) performance metrics</w:t>
      </w:r>
    </w:p>
    <w:tbl>
      <w:tblPr>
        <w:tblW w:type="auto" w:w="0"/>
        <w:jc w:val="center"/>
        <w:tblLook w:firstColumn="1" w:firstRow="1" w:lastColumn="0" w:lastRow="0" w:noHBand="0" w:noVBand="1" w:val="04A0"/>
      </w:tblPr>
      <w:tblGrid>
        <w:gridCol w:w="4968"/>
        <w:gridCol w:w="4968"/>
      </w:tblGrid>
      <w:tr>
        <w:tc>
          <w:tcPr>
            <w:tcW w:type="dxa" w:w="4968"/>
            <w:tcMar>
              <w:top w:w="80" w:type="dxa"/>
              <w:bottom w:w="80" w:type="dxa"/>
              <w:left w:w="120" w:type="dxa"/>
              <w:right w:w="120" w:type="dxa"/>
            </w:tcMar>
            <w:shd w:fill="1B4F72"/>
          </w:tcPr>
          <w:p>
            <w:r>
              <w:rPr>
                <w:b/>
                <w:color w:val="FFFFFF"/>
                <w:sz w:val="18"/>
              </w:rPr>
              <w:t>Metric</w:t>
            </w:r>
          </w:p>
        </w:tc>
        <w:tc>
          <w:tcPr>
            <w:tcW w:type="dxa" w:w="4968"/>
            <w:tcMar>
              <w:top w:w="80" w:type="dxa"/>
              <w:bottom w:w="80" w:type="dxa"/>
              <w:left w:w="120" w:type="dxa"/>
              <w:right w:w="120" w:type="dxa"/>
            </w:tcMar>
            <w:shd w:fill="1B4F72"/>
          </w:tcPr>
          <w:p>
            <w:r>
              <w:rPr>
                <w:b/>
                <w:color w:val="FFFFFF"/>
                <w:sz w:val="18"/>
              </w:rPr>
              <w:t>Value</w:t>
            </w:r>
          </w:p>
        </w:tc>
      </w:tr>
      <w:tr>
        <w:tc>
          <w:tcPr>
            <w:tcW w:type="dxa" w:w="4968"/>
            <w:tcMar>
              <w:top w:w="80" w:type="dxa"/>
              <w:bottom w:w="80" w:type="dxa"/>
              <w:left w:w="120" w:type="dxa"/>
              <w:right w:w="120" w:type="dxa"/>
            </w:tcMar>
            <w:shd w:fill="F8F9F9"/>
          </w:tcPr>
          <w:p>
            <w:r>
              <w:rPr>
                <w:sz w:val="17"/>
              </w:rPr>
              <w:t>Overall Accuracy</w:t>
            </w:r>
          </w:p>
        </w:tc>
        <w:tc>
          <w:tcPr>
            <w:tcW w:type="dxa" w:w="4968"/>
            <w:tcMar>
              <w:top w:w="80" w:type="dxa"/>
              <w:bottom w:w="80" w:type="dxa"/>
              <w:left w:w="120" w:type="dxa"/>
              <w:right w:w="120" w:type="dxa"/>
            </w:tcMar>
            <w:shd w:fill="F8F9F9"/>
          </w:tcPr>
          <w:p>
            <w:r>
              <w:rPr>
                <w:sz w:val="17"/>
              </w:rPr>
              <w:t>90.37%</w:t>
            </w:r>
          </w:p>
        </w:tc>
      </w:tr>
      <w:tr>
        <w:tc>
          <w:tcPr>
            <w:tcW w:type="dxa" w:w="4968"/>
            <w:tcMar>
              <w:top w:w="80" w:type="dxa"/>
              <w:bottom w:w="80" w:type="dxa"/>
              <w:left w:w="120" w:type="dxa"/>
              <w:right w:w="120" w:type="dxa"/>
            </w:tcMar>
            <w:shd w:fill="FFFFFF"/>
          </w:tcPr>
          <w:p>
            <w:r>
              <w:rPr>
                <w:sz w:val="17"/>
              </w:rPr>
              <w:t>Balanced Accuracy</w:t>
            </w:r>
          </w:p>
        </w:tc>
        <w:tc>
          <w:tcPr>
            <w:tcW w:type="dxa" w:w="4968"/>
            <w:tcMar>
              <w:top w:w="80" w:type="dxa"/>
              <w:bottom w:w="80" w:type="dxa"/>
              <w:left w:w="120" w:type="dxa"/>
              <w:right w:w="120" w:type="dxa"/>
            </w:tcMar>
            <w:shd w:fill="FFFFFF"/>
          </w:tcPr>
          <w:p>
            <w:r>
              <w:rPr>
                <w:sz w:val="17"/>
              </w:rPr>
              <w:t>84.52%</w:t>
            </w:r>
          </w:p>
        </w:tc>
      </w:tr>
      <w:tr>
        <w:tc>
          <w:tcPr>
            <w:tcW w:type="dxa" w:w="4968"/>
            <w:tcMar>
              <w:top w:w="80" w:type="dxa"/>
              <w:bottom w:w="80" w:type="dxa"/>
              <w:left w:w="120" w:type="dxa"/>
              <w:right w:w="120" w:type="dxa"/>
            </w:tcMar>
            <w:shd w:fill="F8F9F9"/>
          </w:tcPr>
          <w:p>
            <w:r>
              <w:rPr>
                <w:sz w:val="17"/>
              </w:rPr>
              <w:t>Precision (Monkeypox)</w:t>
            </w:r>
          </w:p>
        </w:tc>
        <w:tc>
          <w:tcPr>
            <w:tcW w:type="dxa" w:w="4968"/>
            <w:tcMar>
              <w:top w:w="80" w:type="dxa"/>
              <w:bottom w:w="80" w:type="dxa"/>
              <w:left w:w="120" w:type="dxa"/>
              <w:right w:w="120" w:type="dxa"/>
            </w:tcMar>
            <w:shd w:fill="F8F9F9"/>
          </w:tcPr>
          <w:p>
            <w:r>
              <w:rPr>
                <w:sz w:val="17"/>
              </w:rPr>
              <w:t>75.00%</w:t>
            </w:r>
          </w:p>
        </w:tc>
      </w:tr>
      <w:tr>
        <w:tc>
          <w:tcPr>
            <w:tcW w:type="dxa" w:w="4968"/>
            <w:tcMar>
              <w:top w:w="80" w:type="dxa"/>
              <w:bottom w:w="80" w:type="dxa"/>
              <w:left w:w="120" w:type="dxa"/>
              <w:right w:w="120" w:type="dxa"/>
            </w:tcMar>
            <w:shd w:fill="FFFFFF"/>
          </w:tcPr>
          <w:p>
            <w:r>
              <w:rPr>
                <w:sz w:val="17"/>
              </w:rPr>
              <w:t>Recall / Sensitivity (Monkeypox)</w:t>
            </w:r>
          </w:p>
        </w:tc>
        <w:tc>
          <w:tcPr>
            <w:tcW w:type="dxa" w:w="4968"/>
            <w:tcMar>
              <w:top w:w="80" w:type="dxa"/>
              <w:bottom w:w="80" w:type="dxa"/>
              <w:left w:w="120" w:type="dxa"/>
              <w:right w:w="120" w:type="dxa"/>
            </w:tcMar>
            <w:shd w:fill="FFFFFF"/>
          </w:tcPr>
          <w:p>
            <w:r>
              <w:rPr>
                <w:sz w:val="17"/>
              </w:rPr>
              <w:t>75.00%</w:t>
            </w:r>
          </w:p>
        </w:tc>
      </w:tr>
      <w:tr>
        <w:tc>
          <w:tcPr>
            <w:tcW w:type="dxa" w:w="4968"/>
            <w:tcMar>
              <w:top w:w="80" w:type="dxa"/>
              <w:bottom w:w="80" w:type="dxa"/>
              <w:left w:w="120" w:type="dxa"/>
              <w:right w:w="120" w:type="dxa"/>
            </w:tcMar>
            <w:shd w:fill="F8F9F9"/>
          </w:tcPr>
          <w:p>
            <w:r>
              <w:rPr>
                <w:sz w:val="17"/>
              </w:rPr>
              <w:t>Specificity (Non-Monkeypox)</w:t>
            </w:r>
          </w:p>
        </w:tc>
        <w:tc>
          <w:tcPr>
            <w:tcW w:type="dxa" w:w="4968"/>
            <w:tcMar>
              <w:top w:w="80" w:type="dxa"/>
              <w:bottom w:w="80" w:type="dxa"/>
              <w:left w:w="120" w:type="dxa"/>
              <w:right w:w="120" w:type="dxa"/>
            </w:tcMar>
            <w:shd w:fill="F8F9F9"/>
          </w:tcPr>
          <w:p>
            <w:r>
              <w:rPr>
                <w:sz w:val="17"/>
              </w:rPr>
              <w:t>94.04%</w:t>
            </w:r>
          </w:p>
        </w:tc>
      </w:tr>
      <w:tr>
        <w:tc>
          <w:tcPr>
            <w:tcW w:type="dxa" w:w="4968"/>
            <w:tcMar>
              <w:top w:w="80" w:type="dxa"/>
              <w:bottom w:w="80" w:type="dxa"/>
              <w:left w:w="120" w:type="dxa"/>
              <w:right w:w="120" w:type="dxa"/>
            </w:tcMar>
            <w:shd w:fill="FFFFFF"/>
          </w:tcPr>
          <w:p>
            <w:r>
              <w:rPr>
                <w:sz w:val="17"/>
              </w:rPr>
              <w:t>Macro F1-Score</w:t>
            </w:r>
          </w:p>
        </w:tc>
        <w:tc>
          <w:tcPr>
            <w:tcW w:type="dxa" w:w="4968"/>
            <w:tcMar>
              <w:top w:w="80" w:type="dxa"/>
              <w:bottom w:w="80" w:type="dxa"/>
              <w:left w:w="120" w:type="dxa"/>
              <w:right w:w="120" w:type="dxa"/>
            </w:tcMar>
            <w:shd w:fill="FFFFFF"/>
          </w:tcPr>
          <w:p>
            <w:r>
              <w:rPr>
                <w:sz w:val="17"/>
              </w:rPr>
              <w:t>84.52%</w:t>
            </w:r>
          </w:p>
        </w:tc>
      </w:tr>
      <w:tr>
        <w:tc>
          <w:tcPr>
            <w:tcW w:type="dxa" w:w="4968"/>
            <w:tcMar>
              <w:top w:w="80" w:type="dxa"/>
              <w:bottom w:w="80" w:type="dxa"/>
              <w:left w:w="120" w:type="dxa"/>
              <w:right w:w="120" w:type="dxa"/>
            </w:tcMar>
            <w:shd w:fill="F8F9F9"/>
          </w:tcPr>
          <w:p>
            <w:r>
              <w:rPr>
                <w:sz w:val="17"/>
              </w:rPr>
              <w:t>ROC-AUC</w:t>
            </w:r>
          </w:p>
        </w:tc>
        <w:tc>
          <w:tcPr>
            <w:tcW w:type="dxa" w:w="4968"/>
            <w:tcMar>
              <w:top w:w="80" w:type="dxa"/>
              <w:bottom w:w="80" w:type="dxa"/>
              <w:left w:w="120" w:type="dxa"/>
              <w:right w:w="120" w:type="dxa"/>
            </w:tcMar>
            <w:shd w:fill="F8F9F9"/>
          </w:tcPr>
          <w:p>
            <w:r>
              <w:rPr>
                <w:sz w:val="17"/>
              </w:rPr>
              <w:t>93.60%</w:t>
            </w:r>
          </w:p>
        </w:tc>
      </w:tr>
    </w:tbl>
    <w:p/>
    <w:p>
      <w:r>
        <w:rPr>
          <w:b/>
        </w:rPr>
        <w:t>Table 5: Comprehensive comparison of Clinical-Only, Image-Only, and Multimodal Models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00" w:type="dxa"/>
              <w:right w:w="100" w:type="dxa"/>
            </w:tcMar>
            <w:shd w:fill="1B4F72"/>
          </w:tcPr>
          <w:p>
            <w:r>
              <w:rPr>
                <w:b/>
                <w:color w:val="FFFFFF"/>
                <w:sz w:val="17"/>
              </w:rPr>
              <w:t>Evaluation Metric</w:t>
            </w:r>
          </w:p>
        </w:tc>
        <w:tc>
          <w:tcPr>
            <w:tcW w:type="dxa" w:w="1987"/>
            <w:tcMar>
              <w:top w:w="80" w:type="dxa"/>
              <w:bottom w:w="80" w:type="dxa"/>
              <w:left w:w="100" w:type="dxa"/>
              <w:right w:w="100" w:type="dxa"/>
            </w:tcMar>
            <w:shd w:fill="1B4F72"/>
          </w:tcPr>
          <w:p>
            <w:r>
              <w:rPr>
                <w:b/>
                <w:color w:val="FFFFFF"/>
                <w:sz w:val="17"/>
              </w:rPr>
              <w:t>Model A: Image-Only</w:t>
            </w:r>
          </w:p>
        </w:tc>
        <w:tc>
          <w:tcPr>
            <w:tcW w:type="dxa" w:w="1987"/>
            <w:tcMar>
              <w:top w:w="80" w:type="dxa"/>
              <w:bottom w:w="80" w:type="dxa"/>
              <w:left w:w="100" w:type="dxa"/>
              <w:right w:w="100" w:type="dxa"/>
            </w:tcMar>
            <w:shd w:fill="1B4F72"/>
          </w:tcPr>
          <w:p>
            <w:r>
              <w:rPr>
                <w:b/>
                <w:color w:val="FFFFFF"/>
                <w:sz w:val="17"/>
              </w:rPr>
              <w:t>Model B: Clinical-Only</w:t>
            </w:r>
          </w:p>
        </w:tc>
        <w:tc>
          <w:tcPr>
            <w:tcW w:type="dxa" w:w="1987"/>
            <w:tcMar>
              <w:top w:w="80" w:type="dxa"/>
              <w:bottom w:w="80" w:type="dxa"/>
              <w:left w:w="100" w:type="dxa"/>
              <w:right w:w="100" w:type="dxa"/>
            </w:tcMar>
            <w:shd w:fill="1B4F72"/>
          </w:tcPr>
          <w:p>
            <w:r>
              <w:rPr>
                <w:b/>
                <w:color w:val="FFFFFF"/>
                <w:sz w:val="17"/>
              </w:rPr>
              <w:t>Model C: Multimodal</w:t>
            </w:r>
          </w:p>
        </w:tc>
        <w:tc>
          <w:tcPr>
            <w:tcW w:type="dxa" w:w="1987"/>
            <w:tcMar>
              <w:top w:w="80" w:type="dxa"/>
              <w:bottom w:w="80" w:type="dxa"/>
              <w:left w:w="100" w:type="dxa"/>
              <w:right w:w="100" w:type="dxa"/>
            </w:tcMar>
            <w:shd w:fill="1B4F72"/>
          </w:tcPr>
          <w:p>
            <w:r>
              <w:rPr>
                <w:b/>
                <w:color w:val="FFFFFF"/>
                <w:sz w:val="17"/>
              </w:rPr>
              <w:t>Multimodal vs. Image Gain</w:t>
            </w:r>
          </w:p>
        </w:tc>
      </w:tr>
      <w:tr>
        <w:tc>
          <w:tcPr>
            <w:tcW w:type="dxa" w:w="1987"/>
            <w:tcMar>
              <w:top w:w="80" w:type="dxa"/>
              <w:bottom w:w="80" w:type="dxa"/>
              <w:left w:w="100" w:type="dxa"/>
              <w:right w:w="100" w:type="dxa"/>
            </w:tcMar>
            <w:shd w:fill="F8F9F9"/>
          </w:tcPr>
          <w:p>
            <w:r>
              <w:rPr>
                <w:sz w:val="16"/>
              </w:rPr>
              <w:t>Overall Accuracy</w:t>
            </w:r>
          </w:p>
        </w:tc>
        <w:tc>
          <w:tcPr>
            <w:tcW w:type="dxa" w:w="1987"/>
            <w:tcMar>
              <w:top w:w="80" w:type="dxa"/>
              <w:bottom w:w="80" w:type="dxa"/>
              <w:left w:w="100" w:type="dxa"/>
              <w:right w:w="100" w:type="dxa"/>
            </w:tcMar>
            <w:shd w:fill="F8F9F9"/>
          </w:tcPr>
          <w:p>
            <w:r>
              <w:rPr>
                <w:sz w:val="16"/>
              </w:rPr>
              <w:t>86.67%</w:t>
            </w:r>
          </w:p>
        </w:tc>
        <w:tc>
          <w:tcPr>
            <w:tcW w:type="dxa" w:w="1987"/>
            <w:tcMar>
              <w:top w:w="80" w:type="dxa"/>
              <w:bottom w:w="80" w:type="dxa"/>
              <w:left w:w="100" w:type="dxa"/>
              <w:right w:w="100" w:type="dxa"/>
            </w:tcMar>
            <w:shd w:fill="F8F9F9"/>
          </w:tcPr>
          <w:p>
            <w:r>
              <w:rPr>
                <w:sz w:val="16"/>
              </w:rPr>
              <w:t>95.19%</w:t>
            </w:r>
          </w:p>
        </w:tc>
        <w:tc>
          <w:tcPr>
            <w:tcW w:type="dxa" w:w="1987"/>
            <w:tcMar>
              <w:top w:w="80" w:type="dxa"/>
              <w:bottom w:w="80" w:type="dxa"/>
              <w:left w:w="100" w:type="dxa"/>
              <w:right w:w="100" w:type="dxa"/>
            </w:tcMar>
            <w:shd w:fill="F8F9F9"/>
          </w:tcPr>
          <w:p>
            <w:r>
              <w:rPr>
                <w:sz w:val="16"/>
              </w:rPr>
              <w:t>90.37%</w:t>
            </w:r>
          </w:p>
        </w:tc>
        <w:tc>
          <w:tcPr>
            <w:tcW w:type="dxa" w:w="1987"/>
            <w:tcMar>
              <w:top w:w="80" w:type="dxa"/>
              <w:bottom w:w="80" w:type="dxa"/>
              <w:left w:w="100" w:type="dxa"/>
              <w:right w:w="100" w:type="dxa"/>
            </w:tcMar>
            <w:shd w:fill="F8F9F9"/>
          </w:tcPr>
          <w:p>
            <w:r>
              <w:rPr>
                <w:sz w:val="16"/>
              </w:rPr>
              <w:t>+3.70%</w:t>
            </w:r>
          </w:p>
        </w:tc>
      </w:tr>
      <w:tr>
        <w:tc>
          <w:tcPr>
            <w:tcW w:type="dxa" w:w="1987"/>
            <w:tcMar>
              <w:top w:w="80" w:type="dxa"/>
              <w:bottom w:w="80" w:type="dxa"/>
              <w:left w:w="100" w:type="dxa"/>
              <w:right w:w="100" w:type="dxa"/>
            </w:tcMar>
            <w:shd w:fill="FFFFFF"/>
          </w:tcPr>
          <w:p>
            <w:r>
              <w:rPr>
                <w:sz w:val="16"/>
              </w:rPr>
              <w:t>Balanced Accuracy</w:t>
            </w:r>
          </w:p>
        </w:tc>
        <w:tc>
          <w:tcPr>
            <w:tcW w:type="dxa" w:w="1987"/>
            <w:tcMar>
              <w:top w:w="80" w:type="dxa"/>
              <w:bottom w:w="80" w:type="dxa"/>
              <w:left w:w="100" w:type="dxa"/>
              <w:right w:w="100" w:type="dxa"/>
            </w:tcMar>
            <w:shd w:fill="FFFFFF"/>
          </w:tcPr>
          <w:p>
            <w:r>
              <w:rPr>
                <w:sz w:val="16"/>
              </w:rPr>
              <w:t>82.22%</w:t>
            </w:r>
          </w:p>
        </w:tc>
        <w:tc>
          <w:tcPr>
            <w:tcW w:type="dxa" w:w="1987"/>
            <w:tcMar>
              <w:top w:w="80" w:type="dxa"/>
              <w:bottom w:w="80" w:type="dxa"/>
              <w:left w:w="100" w:type="dxa"/>
              <w:right w:w="100" w:type="dxa"/>
            </w:tcMar>
            <w:shd w:fill="FFFFFF"/>
          </w:tcPr>
          <w:p>
            <w:r>
              <w:rPr>
                <w:sz w:val="16"/>
              </w:rPr>
              <w:t>87.50%</w:t>
            </w:r>
          </w:p>
        </w:tc>
        <w:tc>
          <w:tcPr>
            <w:tcW w:type="dxa" w:w="1987"/>
            <w:tcMar>
              <w:top w:w="80" w:type="dxa"/>
              <w:bottom w:w="80" w:type="dxa"/>
              <w:left w:w="100" w:type="dxa"/>
              <w:right w:w="100" w:type="dxa"/>
            </w:tcMar>
            <w:shd w:fill="FFFFFF"/>
          </w:tcPr>
          <w:p>
            <w:r>
              <w:rPr>
                <w:sz w:val="16"/>
              </w:rPr>
              <w:t>84.52%</w:t>
            </w:r>
          </w:p>
        </w:tc>
        <w:tc>
          <w:tcPr>
            <w:tcW w:type="dxa" w:w="1987"/>
            <w:tcMar>
              <w:top w:w="80" w:type="dxa"/>
              <w:bottom w:w="80" w:type="dxa"/>
              <w:left w:w="100" w:type="dxa"/>
              <w:right w:w="100" w:type="dxa"/>
            </w:tcMar>
            <w:shd w:fill="FFFFFF"/>
          </w:tcPr>
          <w:p>
            <w:r>
              <w:rPr>
                <w:sz w:val="16"/>
              </w:rPr>
              <w:t>+2.30%</w:t>
            </w:r>
          </w:p>
        </w:tc>
      </w:tr>
      <w:tr>
        <w:tc>
          <w:tcPr>
            <w:tcW w:type="dxa" w:w="1987"/>
            <w:tcMar>
              <w:top w:w="80" w:type="dxa"/>
              <w:bottom w:w="80" w:type="dxa"/>
              <w:left w:w="100" w:type="dxa"/>
              <w:right w:w="100" w:type="dxa"/>
            </w:tcMar>
            <w:shd w:fill="F8F9F9"/>
          </w:tcPr>
          <w:p>
            <w:r>
              <w:rPr>
                <w:sz w:val="16"/>
              </w:rPr>
              <w:t>Precision (Mpox)</w:t>
            </w:r>
          </w:p>
        </w:tc>
        <w:tc>
          <w:tcPr>
            <w:tcW w:type="dxa" w:w="1987"/>
            <w:tcMar>
              <w:top w:w="80" w:type="dxa"/>
              <w:bottom w:w="80" w:type="dxa"/>
              <w:left w:w="100" w:type="dxa"/>
              <w:right w:w="100" w:type="dxa"/>
            </w:tcMar>
            <w:shd w:fill="F8F9F9"/>
          </w:tcPr>
          <w:p>
            <w:r>
              <w:rPr>
                <w:sz w:val="16"/>
              </w:rPr>
              <w:t>62.90%</w:t>
            </w:r>
          </w:p>
        </w:tc>
        <w:tc>
          <w:tcPr>
            <w:tcW w:type="dxa" w:w="1987"/>
            <w:tcMar>
              <w:top w:w="80" w:type="dxa"/>
              <w:bottom w:w="80" w:type="dxa"/>
              <w:left w:w="100" w:type="dxa"/>
              <w:right w:w="100" w:type="dxa"/>
            </w:tcMar>
            <w:shd w:fill="F8F9F9"/>
          </w:tcPr>
          <w:p>
            <w:r>
              <w:rPr>
                <w:sz w:val="16"/>
              </w:rPr>
              <w:t>100.00%</w:t>
            </w:r>
          </w:p>
        </w:tc>
        <w:tc>
          <w:tcPr>
            <w:tcW w:type="dxa" w:w="1987"/>
            <w:tcMar>
              <w:top w:w="80" w:type="dxa"/>
              <w:bottom w:w="80" w:type="dxa"/>
              <w:left w:w="100" w:type="dxa"/>
              <w:right w:w="100" w:type="dxa"/>
            </w:tcMar>
            <w:shd w:fill="F8F9F9"/>
          </w:tcPr>
          <w:p>
            <w:r>
              <w:rPr>
                <w:sz w:val="16"/>
              </w:rPr>
              <w:t>75.00%</w:t>
            </w:r>
          </w:p>
        </w:tc>
        <w:tc>
          <w:tcPr>
            <w:tcW w:type="dxa" w:w="1987"/>
            <w:tcMar>
              <w:top w:w="80" w:type="dxa"/>
              <w:bottom w:w="80" w:type="dxa"/>
              <w:left w:w="100" w:type="dxa"/>
              <w:right w:w="100" w:type="dxa"/>
            </w:tcMar>
            <w:shd w:fill="F8F9F9"/>
          </w:tcPr>
          <w:p>
            <w:r>
              <w:rPr>
                <w:sz w:val="16"/>
              </w:rPr>
              <w:t>+12.10%</w:t>
            </w:r>
          </w:p>
        </w:tc>
      </w:tr>
      <w:tr>
        <w:tc>
          <w:tcPr>
            <w:tcW w:type="dxa" w:w="1987"/>
            <w:tcMar>
              <w:top w:w="80" w:type="dxa"/>
              <w:bottom w:w="80" w:type="dxa"/>
              <w:left w:w="100" w:type="dxa"/>
              <w:right w:w="100" w:type="dxa"/>
            </w:tcMar>
            <w:shd w:fill="FFFFFF"/>
          </w:tcPr>
          <w:p>
            <w:r>
              <w:rPr>
                <w:sz w:val="16"/>
              </w:rPr>
              <w:t>Recall / Sensitivity</w:t>
            </w:r>
          </w:p>
        </w:tc>
        <w:tc>
          <w:tcPr>
            <w:tcW w:type="dxa" w:w="1987"/>
            <w:tcMar>
              <w:top w:w="80" w:type="dxa"/>
              <w:bottom w:w="80" w:type="dxa"/>
              <w:left w:w="100" w:type="dxa"/>
              <w:right w:w="100" w:type="dxa"/>
            </w:tcMar>
            <w:shd w:fill="FFFFFF"/>
          </w:tcPr>
          <w:p>
            <w:r>
              <w:rPr>
                <w:sz w:val="16"/>
              </w:rPr>
              <w:t>75.00%</w:t>
            </w:r>
          </w:p>
        </w:tc>
        <w:tc>
          <w:tcPr>
            <w:tcW w:type="dxa" w:w="1987"/>
            <w:tcMar>
              <w:top w:w="80" w:type="dxa"/>
              <w:bottom w:w="80" w:type="dxa"/>
              <w:left w:w="100" w:type="dxa"/>
              <w:right w:w="100" w:type="dxa"/>
            </w:tcMar>
            <w:shd w:fill="FFFFFF"/>
          </w:tcPr>
          <w:p>
            <w:r>
              <w:rPr>
                <w:sz w:val="16"/>
              </w:rPr>
              <w:t>75.00%</w:t>
            </w:r>
          </w:p>
        </w:tc>
        <w:tc>
          <w:tcPr>
            <w:tcW w:type="dxa" w:w="1987"/>
            <w:tcMar>
              <w:top w:w="80" w:type="dxa"/>
              <w:bottom w:w="80" w:type="dxa"/>
              <w:left w:w="100" w:type="dxa"/>
              <w:right w:w="100" w:type="dxa"/>
            </w:tcMar>
            <w:shd w:fill="FFFFFF"/>
          </w:tcPr>
          <w:p>
            <w:r>
              <w:rPr>
                <w:sz w:val="16"/>
              </w:rPr>
              <w:t>75.00%</w:t>
            </w:r>
          </w:p>
        </w:tc>
        <w:tc>
          <w:tcPr>
            <w:tcW w:type="dxa" w:w="1987"/>
            <w:tcMar>
              <w:top w:w="80" w:type="dxa"/>
              <w:bottom w:w="80" w:type="dxa"/>
              <w:left w:w="100" w:type="dxa"/>
              <w:right w:w="100" w:type="dxa"/>
            </w:tcMar>
            <w:shd w:fill="FFFFFF"/>
          </w:tcPr>
          <w:p>
            <w:r>
              <w:rPr>
                <w:sz w:val="16"/>
              </w:rPr>
              <w:t>Preserved (0.00%)</w:t>
            </w:r>
          </w:p>
        </w:tc>
      </w:tr>
      <w:tr>
        <w:tc>
          <w:tcPr>
            <w:tcW w:type="dxa" w:w="1987"/>
            <w:tcMar>
              <w:top w:w="80" w:type="dxa"/>
              <w:bottom w:w="80" w:type="dxa"/>
              <w:left w:w="100" w:type="dxa"/>
              <w:right w:w="100" w:type="dxa"/>
            </w:tcMar>
            <w:shd w:fill="F8F9F9"/>
          </w:tcPr>
          <w:p>
            <w:r>
              <w:rPr>
                <w:sz w:val="16"/>
              </w:rPr>
              <w:t>Specificity</w:t>
            </w:r>
          </w:p>
        </w:tc>
        <w:tc>
          <w:tcPr>
            <w:tcW w:type="dxa" w:w="1987"/>
            <w:tcMar>
              <w:top w:w="80" w:type="dxa"/>
              <w:bottom w:w="80" w:type="dxa"/>
              <w:left w:w="100" w:type="dxa"/>
              <w:right w:w="100" w:type="dxa"/>
            </w:tcMar>
            <w:shd w:fill="F8F9F9"/>
          </w:tcPr>
          <w:p>
            <w:r>
              <w:rPr>
                <w:sz w:val="16"/>
              </w:rPr>
              <w:t>89.45%</w:t>
            </w:r>
          </w:p>
        </w:tc>
        <w:tc>
          <w:tcPr>
            <w:tcW w:type="dxa" w:w="1987"/>
            <w:tcMar>
              <w:top w:w="80" w:type="dxa"/>
              <w:bottom w:w="80" w:type="dxa"/>
              <w:left w:w="100" w:type="dxa"/>
              <w:right w:w="100" w:type="dxa"/>
            </w:tcMar>
            <w:shd w:fill="F8F9F9"/>
          </w:tcPr>
          <w:p>
            <w:r>
              <w:rPr>
                <w:sz w:val="16"/>
              </w:rPr>
              <w:t>100.00%</w:t>
            </w:r>
          </w:p>
        </w:tc>
        <w:tc>
          <w:tcPr>
            <w:tcW w:type="dxa" w:w="1987"/>
            <w:tcMar>
              <w:top w:w="80" w:type="dxa"/>
              <w:bottom w:w="80" w:type="dxa"/>
              <w:left w:w="100" w:type="dxa"/>
              <w:right w:w="100" w:type="dxa"/>
            </w:tcMar>
            <w:shd w:fill="F8F9F9"/>
          </w:tcPr>
          <w:p>
            <w:r>
              <w:rPr>
                <w:sz w:val="16"/>
              </w:rPr>
              <w:t>94.04%</w:t>
            </w:r>
          </w:p>
        </w:tc>
        <w:tc>
          <w:tcPr>
            <w:tcW w:type="dxa" w:w="1987"/>
            <w:tcMar>
              <w:top w:w="80" w:type="dxa"/>
              <w:bottom w:w="80" w:type="dxa"/>
              <w:left w:w="100" w:type="dxa"/>
              <w:right w:w="100" w:type="dxa"/>
            </w:tcMar>
            <w:shd w:fill="F8F9F9"/>
          </w:tcPr>
          <w:p>
            <w:r>
              <w:rPr>
                <w:sz w:val="16"/>
              </w:rPr>
              <w:t>+4.59%</w:t>
            </w:r>
          </w:p>
        </w:tc>
      </w:tr>
      <w:tr>
        <w:tc>
          <w:tcPr>
            <w:tcW w:type="dxa" w:w="1987"/>
            <w:tcMar>
              <w:top w:w="80" w:type="dxa"/>
              <w:bottom w:w="80" w:type="dxa"/>
              <w:left w:w="100" w:type="dxa"/>
              <w:right w:w="100" w:type="dxa"/>
            </w:tcMar>
            <w:shd w:fill="FFFFFF"/>
          </w:tcPr>
          <w:p>
            <w:r>
              <w:rPr>
                <w:sz w:val="16"/>
              </w:rPr>
              <w:t>Mpox F1-Score</w:t>
            </w:r>
          </w:p>
        </w:tc>
        <w:tc>
          <w:tcPr>
            <w:tcW w:type="dxa" w:w="1987"/>
            <w:tcMar>
              <w:top w:w="80" w:type="dxa"/>
              <w:bottom w:w="80" w:type="dxa"/>
              <w:left w:w="100" w:type="dxa"/>
              <w:right w:w="100" w:type="dxa"/>
            </w:tcMar>
            <w:shd w:fill="FFFFFF"/>
          </w:tcPr>
          <w:p>
            <w:r>
              <w:rPr>
                <w:sz w:val="16"/>
              </w:rPr>
              <w:t>68.42%</w:t>
            </w:r>
          </w:p>
        </w:tc>
        <w:tc>
          <w:tcPr>
            <w:tcW w:type="dxa" w:w="1987"/>
            <w:tcMar>
              <w:top w:w="80" w:type="dxa"/>
              <w:bottom w:w="80" w:type="dxa"/>
              <w:left w:w="100" w:type="dxa"/>
              <w:right w:w="100" w:type="dxa"/>
            </w:tcMar>
            <w:shd w:fill="FFFFFF"/>
          </w:tcPr>
          <w:p>
            <w:r>
              <w:rPr>
                <w:sz w:val="16"/>
              </w:rPr>
              <w:t>85.71%</w:t>
            </w:r>
          </w:p>
        </w:tc>
        <w:tc>
          <w:tcPr>
            <w:tcW w:type="dxa" w:w="1987"/>
            <w:tcMar>
              <w:top w:w="80" w:type="dxa"/>
              <w:bottom w:w="80" w:type="dxa"/>
              <w:left w:w="100" w:type="dxa"/>
              <w:right w:w="100" w:type="dxa"/>
            </w:tcMar>
            <w:shd w:fill="FFFFFF"/>
          </w:tcPr>
          <w:p>
            <w:r>
              <w:rPr>
                <w:sz w:val="16"/>
              </w:rPr>
              <w:t>75.00%</w:t>
            </w:r>
          </w:p>
        </w:tc>
        <w:tc>
          <w:tcPr>
            <w:tcW w:type="dxa" w:w="1987"/>
            <w:tcMar>
              <w:top w:w="80" w:type="dxa"/>
              <w:bottom w:w="80" w:type="dxa"/>
              <w:left w:w="100" w:type="dxa"/>
              <w:right w:w="100" w:type="dxa"/>
            </w:tcMar>
            <w:shd w:fill="FFFFFF"/>
          </w:tcPr>
          <w:p>
            <w:r>
              <w:rPr>
                <w:sz w:val="16"/>
              </w:rPr>
              <w:t>+6.58%</w:t>
            </w:r>
          </w:p>
        </w:tc>
      </w:tr>
      <w:tr>
        <w:tc>
          <w:tcPr>
            <w:tcW w:type="dxa" w:w="1987"/>
            <w:tcMar>
              <w:top w:w="80" w:type="dxa"/>
              <w:bottom w:w="80" w:type="dxa"/>
              <w:left w:w="100" w:type="dxa"/>
              <w:right w:w="100" w:type="dxa"/>
            </w:tcMar>
            <w:shd w:fill="F8F9F9"/>
          </w:tcPr>
          <w:p>
            <w:r>
              <w:rPr>
                <w:sz w:val="16"/>
              </w:rPr>
              <w:t>Macro F1-Score</w:t>
            </w:r>
          </w:p>
        </w:tc>
        <w:tc>
          <w:tcPr>
            <w:tcW w:type="dxa" w:w="1987"/>
            <w:tcMar>
              <w:top w:w="80" w:type="dxa"/>
              <w:bottom w:w="80" w:type="dxa"/>
              <w:left w:w="100" w:type="dxa"/>
              <w:right w:w="100" w:type="dxa"/>
            </w:tcMar>
            <w:shd w:fill="F8F9F9"/>
          </w:tcPr>
          <w:p>
            <w:r>
              <w:rPr>
                <w:sz w:val="16"/>
              </w:rPr>
              <w:t>79.99%</w:t>
            </w:r>
          </w:p>
        </w:tc>
        <w:tc>
          <w:tcPr>
            <w:tcW w:type="dxa" w:w="1987"/>
            <w:tcMar>
              <w:top w:w="80" w:type="dxa"/>
              <w:bottom w:w="80" w:type="dxa"/>
              <w:left w:w="100" w:type="dxa"/>
              <w:right w:w="100" w:type="dxa"/>
            </w:tcMar>
            <w:shd w:fill="F8F9F9"/>
          </w:tcPr>
          <w:p>
            <w:r>
              <w:rPr>
                <w:sz w:val="16"/>
              </w:rPr>
              <w:t>91.41%</w:t>
            </w:r>
          </w:p>
        </w:tc>
        <w:tc>
          <w:tcPr>
            <w:tcW w:type="dxa" w:w="1987"/>
            <w:tcMar>
              <w:top w:w="80" w:type="dxa"/>
              <w:bottom w:w="80" w:type="dxa"/>
              <w:left w:w="100" w:type="dxa"/>
              <w:right w:w="100" w:type="dxa"/>
            </w:tcMar>
            <w:shd w:fill="F8F9F9"/>
          </w:tcPr>
          <w:p>
            <w:r>
              <w:rPr>
                <w:sz w:val="16"/>
              </w:rPr>
              <w:t>84.52%</w:t>
            </w:r>
          </w:p>
        </w:tc>
        <w:tc>
          <w:tcPr>
            <w:tcW w:type="dxa" w:w="1987"/>
            <w:tcMar>
              <w:top w:w="80" w:type="dxa"/>
              <w:bottom w:w="80" w:type="dxa"/>
              <w:left w:w="100" w:type="dxa"/>
              <w:right w:w="100" w:type="dxa"/>
            </w:tcMar>
            <w:shd w:fill="F8F9F9"/>
          </w:tcPr>
          <w:p>
            <w:r>
              <w:rPr>
                <w:sz w:val="16"/>
              </w:rPr>
              <w:t>+4.53%</w:t>
            </w:r>
          </w:p>
        </w:tc>
      </w:tr>
      <w:tr>
        <w:tc>
          <w:tcPr>
            <w:tcW w:type="dxa" w:w="1987"/>
            <w:tcMar>
              <w:top w:w="80" w:type="dxa"/>
              <w:bottom w:w="80" w:type="dxa"/>
              <w:left w:w="100" w:type="dxa"/>
              <w:right w:w="100" w:type="dxa"/>
            </w:tcMar>
            <w:shd w:fill="FFFFFF"/>
          </w:tcPr>
          <w:p>
            <w:r>
              <w:rPr>
                <w:sz w:val="16"/>
              </w:rPr>
              <w:t>ROC-AUC</w:t>
            </w:r>
          </w:p>
        </w:tc>
        <w:tc>
          <w:tcPr>
            <w:tcW w:type="dxa" w:w="1987"/>
            <w:tcMar>
              <w:top w:w="80" w:type="dxa"/>
              <w:bottom w:w="80" w:type="dxa"/>
              <w:left w:w="100" w:type="dxa"/>
              <w:right w:w="100" w:type="dxa"/>
            </w:tcMar>
            <w:shd w:fill="FFFFFF"/>
          </w:tcPr>
          <w:p>
            <w:r>
              <w:rPr>
                <w:sz w:val="16"/>
              </w:rPr>
              <w:t>91.97%</w:t>
            </w:r>
          </w:p>
        </w:tc>
        <w:tc>
          <w:tcPr>
            <w:tcW w:type="dxa" w:w="1987"/>
            <w:tcMar>
              <w:top w:w="80" w:type="dxa"/>
              <w:bottom w:w="80" w:type="dxa"/>
              <w:left w:w="100" w:type="dxa"/>
              <w:right w:w="100" w:type="dxa"/>
            </w:tcMar>
            <w:shd w:fill="FFFFFF"/>
          </w:tcPr>
          <w:p>
            <w:r>
              <w:rPr>
                <w:sz w:val="16"/>
              </w:rPr>
              <w:t>97.13%</w:t>
            </w:r>
          </w:p>
        </w:tc>
        <w:tc>
          <w:tcPr>
            <w:tcW w:type="dxa" w:w="1987"/>
            <w:tcMar>
              <w:top w:w="80" w:type="dxa"/>
              <w:bottom w:w="80" w:type="dxa"/>
              <w:left w:w="100" w:type="dxa"/>
              <w:right w:w="100" w:type="dxa"/>
            </w:tcMar>
            <w:shd w:fill="FFFFFF"/>
          </w:tcPr>
          <w:p>
            <w:r>
              <w:rPr>
                <w:sz w:val="16"/>
              </w:rPr>
              <w:t>93.60%</w:t>
            </w:r>
          </w:p>
        </w:tc>
        <w:tc>
          <w:tcPr>
            <w:tcW w:type="dxa" w:w="1987"/>
            <w:tcMar>
              <w:top w:w="80" w:type="dxa"/>
              <w:bottom w:w="80" w:type="dxa"/>
              <w:left w:w="100" w:type="dxa"/>
              <w:right w:w="100" w:type="dxa"/>
            </w:tcMar>
            <w:shd w:fill="FFFFFF"/>
          </w:tcPr>
          <w:p>
            <w:r>
              <w:rPr>
                <w:sz w:val="16"/>
              </w:rPr>
              <w:t>+1.63%</w:t>
            </w:r>
          </w:p>
        </w:tc>
      </w:tr>
      <w:tr>
        <w:tc>
          <w:tcPr>
            <w:tcW w:type="dxa" w:w="1987"/>
            <w:tcMar>
              <w:top w:w="80" w:type="dxa"/>
              <w:bottom w:w="80" w:type="dxa"/>
              <w:left w:w="100" w:type="dxa"/>
              <w:right w:w="100" w:type="dxa"/>
            </w:tcMar>
            <w:shd w:fill="F8F9F9"/>
          </w:tcPr>
          <w:p>
            <w:r>
              <w:rPr>
                <w:sz w:val="16"/>
              </w:rPr>
              <w:t>False Positives (n=218)</w:t>
            </w:r>
          </w:p>
        </w:tc>
        <w:tc>
          <w:tcPr>
            <w:tcW w:type="dxa" w:w="1987"/>
            <w:tcMar>
              <w:top w:w="80" w:type="dxa"/>
              <w:bottom w:w="80" w:type="dxa"/>
              <w:left w:w="100" w:type="dxa"/>
              <w:right w:w="100" w:type="dxa"/>
            </w:tcMar>
            <w:shd w:fill="F8F9F9"/>
          </w:tcPr>
          <w:p>
            <w:r>
              <w:rPr>
                <w:sz w:val="16"/>
              </w:rPr>
              <w:t>23</w:t>
            </w:r>
          </w:p>
        </w:tc>
        <w:tc>
          <w:tcPr>
            <w:tcW w:type="dxa" w:w="1987"/>
            <w:tcMar>
              <w:top w:w="80" w:type="dxa"/>
              <w:bottom w:w="80" w:type="dxa"/>
              <w:left w:w="100" w:type="dxa"/>
              <w:right w:w="100" w:type="dxa"/>
            </w:tcMar>
            <w:shd w:fill="F8F9F9"/>
          </w:tcPr>
          <w:p>
            <w:r>
              <w:rPr>
                <w:sz w:val="16"/>
              </w:rPr>
              <w:t>0</w:t>
            </w:r>
          </w:p>
        </w:tc>
        <w:tc>
          <w:tcPr>
            <w:tcW w:type="dxa" w:w="1987"/>
            <w:tcMar>
              <w:top w:w="80" w:type="dxa"/>
              <w:bottom w:w="80" w:type="dxa"/>
              <w:left w:w="100" w:type="dxa"/>
              <w:right w:w="100" w:type="dxa"/>
            </w:tcMar>
            <w:shd w:fill="F8F9F9"/>
          </w:tcPr>
          <w:p>
            <w:r>
              <w:rPr>
                <w:sz w:val="16"/>
              </w:rPr>
              <w:t>13</w:t>
            </w:r>
          </w:p>
        </w:tc>
        <w:tc>
          <w:tcPr>
            <w:tcW w:type="dxa" w:w="1987"/>
            <w:tcMar>
              <w:top w:w="80" w:type="dxa"/>
              <w:bottom w:w="80" w:type="dxa"/>
              <w:left w:w="100" w:type="dxa"/>
              <w:right w:w="100" w:type="dxa"/>
            </w:tcMar>
            <w:shd w:fill="F8F9F9"/>
          </w:tcPr>
          <w:p>
            <w:r>
              <w:rPr>
                <w:sz w:val="16"/>
              </w:rPr>
              <w:t>-43.5% Reduction</w:t>
            </w:r>
          </w:p>
        </w:tc>
      </w:tr>
    </w:tbl>
    <w:p/>
    <w:p>
      <w:r>
        <w:rPr>
          <w:b/>
        </w:rPr>
        <w:t>Table 6: Confusion matrix results across models on holdout test partition (N = 270)</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80" w:type="dxa"/>
              <w:bottom w:w="80" w:type="dxa"/>
              <w:left w:w="100" w:type="dxa"/>
              <w:right w:w="100" w:type="dxa"/>
            </w:tcMar>
            <w:shd w:fill="1B4F72"/>
          </w:tcPr>
          <w:p>
            <w:r>
              <w:rPr>
                <w:b/>
                <w:color w:val="FFFFFF"/>
                <w:sz w:val="17"/>
              </w:rPr>
              <w:t>Model</w:t>
            </w:r>
          </w:p>
        </w:tc>
        <w:tc>
          <w:tcPr>
            <w:tcW w:type="dxa" w:w="1987"/>
            <w:tcMar>
              <w:top w:w="80" w:type="dxa"/>
              <w:bottom w:w="80" w:type="dxa"/>
              <w:left w:w="100" w:type="dxa"/>
              <w:right w:w="100" w:type="dxa"/>
            </w:tcMar>
            <w:shd w:fill="1B4F72"/>
          </w:tcPr>
          <w:p>
            <w:r>
              <w:rPr>
                <w:b/>
                <w:color w:val="FFFFFF"/>
                <w:sz w:val="17"/>
              </w:rPr>
              <w:t>True Positives (TP)</w:t>
            </w:r>
          </w:p>
        </w:tc>
        <w:tc>
          <w:tcPr>
            <w:tcW w:type="dxa" w:w="1987"/>
            <w:tcMar>
              <w:top w:w="80" w:type="dxa"/>
              <w:bottom w:w="80" w:type="dxa"/>
              <w:left w:w="100" w:type="dxa"/>
              <w:right w:w="100" w:type="dxa"/>
            </w:tcMar>
            <w:shd w:fill="1B4F72"/>
          </w:tcPr>
          <w:p>
            <w:r>
              <w:rPr>
                <w:b/>
                <w:color w:val="FFFFFF"/>
                <w:sz w:val="17"/>
              </w:rPr>
              <w:t>False Negatives (FN)</w:t>
            </w:r>
          </w:p>
        </w:tc>
        <w:tc>
          <w:tcPr>
            <w:tcW w:type="dxa" w:w="1987"/>
            <w:tcMar>
              <w:top w:w="80" w:type="dxa"/>
              <w:bottom w:w="80" w:type="dxa"/>
              <w:left w:w="100" w:type="dxa"/>
              <w:right w:w="100" w:type="dxa"/>
            </w:tcMar>
            <w:shd w:fill="1B4F72"/>
          </w:tcPr>
          <w:p>
            <w:r>
              <w:rPr>
                <w:b/>
                <w:color w:val="FFFFFF"/>
                <w:sz w:val="17"/>
              </w:rPr>
              <w:t>True Negatives (TN)</w:t>
            </w:r>
          </w:p>
        </w:tc>
        <w:tc>
          <w:tcPr>
            <w:tcW w:type="dxa" w:w="1987"/>
            <w:tcMar>
              <w:top w:w="80" w:type="dxa"/>
              <w:bottom w:w="80" w:type="dxa"/>
              <w:left w:w="100" w:type="dxa"/>
              <w:right w:w="100" w:type="dxa"/>
            </w:tcMar>
            <w:shd w:fill="1B4F72"/>
          </w:tcPr>
          <w:p>
            <w:r>
              <w:rPr>
                <w:b/>
                <w:color w:val="FFFFFF"/>
                <w:sz w:val="17"/>
              </w:rPr>
              <w:t>False Positives (FP)</w:t>
            </w:r>
          </w:p>
        </w:tc>
      </w:tr>
      <w:tr>
        <w:tc>
          <w:tcPr>
            <w:tcW w:type="dxa" w:w="1987"/>
            <w:tcMar>
              <w:top w:w="80" w:type="dxa"/>
              <w:bottom w:w="80" w:type="dxa"/>
              <w:left w:w="100" w:type="dxa"/>
              <w:right w:w="100" w:type="dxa"/>
            </w:tcMar>
            <w:shd w:fill="F8F9F9"/>
          </w:tcPr>
          <w:p>
            <w:r>
              <w:rPr>
                <w:sz w:val="16"/>
              </w:rPr>
              <w:t>Model A: Image-Only (ResNet-50)</w:t>
            </w:r>
          </w:p>
        </w:tc>
        <w:tc>
          <w:tcPr>
            <w:tcW w:type="dxa" w:w="1987"/>
            <w:tcMar>
              <w:top w:w="80" w:type="dxa"/>
              <w:bottom w:w="80" w:type="dxa"/>
              <w:left w:w="100" w:type="dxa"/>
              <w:right w:w="100" w:type="dxa"/>
            </w:tcMar>
            <w:shd w:fill="F8F9F9"/>
          </w:tcPr>
          <w:p>
            <w:r>
              <w:rPr>
                <w:sz w:val="16"/>
              </w:rPr>
              <w:t>39</w:t>
            </w:r>
          </w:p>
        </w:tc>
        <w:tc>
          <w:tcPr>
            <w:tcW w:type="dxa" w:w="1987"/>
            <w:tcMar>
              <w:top w:w="80" w:type="dxa"/>
              <w:bottom w:w="80" w:type="dxa"/>
              <w:left w:w="100" w:type="dxa"/>
              <w:right w:w="100" w:type="dxa"/>
            </w:tcMar>
            <w:shd w:fill="F8F9F9"/>
          </w:tcPr>
          <w:p>
            <w:r>
              <w:rPr>
                <w:sz w:val="16"/>
              </w:rPr>
              <w:t>13</w:t>
            </w:r>
          </w:p>
        </w:tc>
        <w:tc>
          <w:tcPr>
            <w:tcW w:type="dxa" w:w="1987"/>
            <w:tcMar>
              <w:top w:w="80" w:type="dxa"/>
              <w:bottom w:w="80" w:type="dxa"/>
              <w:left w:w="100" w:type="dxa"/>
              <w:right w:w="100" w:type="dxa"/>
            </w:tcMar>
            <w:shd w:fill="F8F9F9"/>
          </w:tcPr>
          <w:p>
            <w:r>
              <w:rPr>
                <w:sz w:val="16"/>
              </w:rPr>
              <w:t>195</w:t>
            </w:r>
          </w:p>
        </w:tc>
        <w:tc>
          <w:tcPr>
            <w:tcW w:type="dxa" w:w="1987"/>
            <w:tcMar>
              <w:top w:w="80" w:type="dxa"/>
              <w:bottom w:w="80" w:type="dxa"/>
              <w:left w:w="100" w:type="dxa"/>
              <w:right w:w="100" w:type="dxa"/>
            </w:tcMar>
            <w:shd w:fill="F8F9F9"/>
          </w:tcPr>
          <w:p>
            <w:r>
              <w:rPr>
                <w:sz w:val="16"/>
              </w:rPr>
              <w:t>23</w:t>
            </w:r>
          </w:p>
        </w:tc>
      </w:tr>
      <w:tr>
        <w:tc>
          <w:tcPr>
            <w:tcW w:type="dxa" w:w="1987"/>
            <w:tcMar>
              <w:top w:w="80" w:type="dxa"/>
              <w:bottom w:w="80" w:type="dxa"/>
              <w:left w:w="100" w:type="dxa"/>
              <w:right w:w="100" w:type="dxa"/>
            </w:tcMar>
            <w:shd w:fill="FFFFFF"/>
          </w:tcPr>
          <w:p>
            <w:r>
              <w:rPr>
                <w:sz w:val="16"/>
              </w:rPr>
              <w:t>Model B: Clinical-Only (MLP)</w:t>
            </w:r>
          </w:p>
        </w:tc>
        <w:tc>
          <w:tcPr>
            <w:tcW w:type="dxa" w:w="1987"/>
            <w:tcMar>
              <w:top w:w="80" w:type="dxa"/>
              <w:bottom w:w="80" w:type="dxa"/>
              <w:left w:w="100" w:type="dxa"/>
              <w:right w:w="100" w:type="dxa"/>
            </w:tcMar>
            <w:shd w:fill="FFFFFF"/>
          </w:tcPr>
          <w:p>
            <w:r>
              <w:rPr>
                <w:sz w:val="16"/>
              </w:rPr>
              <w:t>39</w:t>
            </w:r>
          </w:p>
        </w:tc>
        <w:tc>
          <w:tcPr>
            <w:tcW w:type="dxa" w:w="1987"/>
            <w:tcMar>
              <w:top w:w="80" w:type="dxa"/>
              <w:bottom w:w="80" w:type="dxa"/>
              <w:left w:w="100" w:type="dxa"/>
              <w:right w:w="100" w:type="dxa"/>
            </w:tcMar>
            <w:shd w:fill="FFFFFF"/>
          </w:tcPr>
          <w:p>
            <w:r>
              <w:rPr>
                <w:sz w:val="16"/>
              </w:rPr>
              <w:t>13</w:t>
            </w:r>
          </w:p>
        </w:tc>
        <w:tc>
          <w:tcPr>
            <w:tcW w:type="dxa" w:w="1987"/>
            <w:tcMar>
              <w:top w:w="80" w:type="dxa"/>
              <w:bottom w:w="80" w:type="dxa"/>
              <w:left w:w="100" w:type="dxa"/>
              <w:right w:w="100" w:type="dxa"/>
            </w:tcMar>
            <w:shd w:fill="FFFFFF"/>
          </w:tcPr>
          <w:p>
            <w:r>
              <w:rPr>
                <w:sz w:val="16"/>
              </w:rPr>
              <w:t>218</w:t>
            </w:r>
          </w:p>
        </w:tc>
        <w:tc>
          <w:tcPr>
            <w:tcW w:type="dxa" w:w="1987"/>
            <w:tcMar>
              <w:top w:w="80" w:type="dxa"/>
              <w:bottom w:w="80" w:type="dxa"/>
              <w:left w:w="100" w:type="dxa"/>
              <w:right w:w="100" w:type="dxa"/>
            </w:tcMar>
            <w:shd w:fill="FFFFFF"/>
          </w:tcPr>
          <w:p>
            <w:r>
              <w:rPr>
                <w:sz w:val="16"/>
              </w:rPr>
              <w:t>0</w:t>
            </w:r>
          </w:p>
        </w:tc>
      </w:tr>
      <w:tr>
        <w:tc>
          <w:tcPr>
            <w:tcW w:type="dxa" w:w="1987"/>
            <w:tcMar>
              <w:top w:w="80" w:type="dxa"/>
              <w:bottom w:w="80" w:type="dxa"/>
              <w:left w:w="100" w:type="dxa"/>
              <w:right w:w="100" w:type="dxa"/>
            </w:tcMar>
            <w:shd w:fill="F8F9F9"/>
          </w:tcPr>
          <w:p>
            <w:r>
              <w:rPr>
                <w:sz w:val="16"/>
              </w:rPr>
              <w:t>Model C: Multimodal Fusion</w:t>
            </w:r>
          </w:p>
        </w:tc>
        <w:tc>
          <w:tcPr>
            <w:tcW w:type="dxa" w:w="1987"/>
            <w:tcMar>
              <w:top w:w="80" w:type="dxa"/>
              <w:bottom w:w="80" w:type="dxa"/>
              <w:left w:w="100" w:type="dxa"/>
              <w:right w:w="100" w:type="dxa"/>
            </w:tcMar>
            <w:shd w:fill="F8F9F9"/>
          </w:tcPr>
          <w:p>
            <w:r>
              <w:rPr>
                <w:sz w:val="16"/>
              </w:rPr>
              <w:t>39</w:t>
            </w:r>
          </w:p>
        </w:tc>
        <w:tc>
          <w:tcPr>
            <w:tcW w:type="dxa" w:w="1987"/>
            <w:tcMar>
              <w:top w:w="80" w:type="dxa"/>
              <w:bottom w:w="80" w:type="dxa"/>
              <w:left w:w="100" w:type="dxa"/>
              <w:right w:w="100" w:type="dxa"/>
            </w:tcMar>
            <w:shd w:fill="F8F9F9"/>
          </w:tcPr>
          <w:p>
            <w:r>
              <w:rPr>
                <w:sz w:val="16"/>
              </w:rPr>
              <w:t>13</w:t>
            </w:r>
          </w:p>
        </w:tc>
        <w:tc>
          <w:tcPr>
            <w:tcW w:type="dxa" w:w="1987"/>
            <w:tcMar>
              <w:top w:w="80" w:type="dxa"/>
              <w:bottom w:w="80" w:type="dxa"/>
              <w:left w:w="100" w:type="dxa"/>
              <w:right w:w="100" w:type="dxa"/>
            </w:tcMar>
            <w:shd w:fill="F8F9F9"/>
          </w:tcPr>
          <w:p>
            <w:r>
              <w:rPr>
                <w:sz w:val="16"/>
              </w:rPr>
              <w:t>205</w:t>
            </w:r>
          </w:p>
        </w:tc>
        <w:tc>
          <w:tcPr>
            <w:tcW w:type="dxa" w:w="1987"/>
            <w:tcMar>
              <w:top w:w="80" w:type="dxa"/>
              <w:bottom w:w="80" w:type="dxa"/>
              <w:left w:w="100" w:type="dxa"/>
              <w:right w:w="100" w:type="dxa"/>
            </w:tcMar>
            <w:shd w:fill="F8F9F9"/>
          </w:tcPr>
          <w:p>
            <w:r>
              <w:rPr>
                <w:sz w:val="16"/>
              </w:rPr>
              <w:t>13</w:t>
            </w:r>
          </w:p>
        </w:tc>
      </w:tr>
    </w:tbl>
    <w:p/>
    <w:p>
      <w:r>
        <w:rPr>
          <w:b/>
        </w:rPr>
        <w:t>Table 7: Model architecture and training hyperparameter specifications</w:t>
      </w:r>
    </w:p>
    <w:tbl>
      <w:tblPr>
        <w:tblW w:type="auto" w:w="0"/>
        <w:jc w:val="center"/>
        <w:tblLook w:firstColumn="1" w:firstRow="1" w:lastColumn="0" w:lastRow="0" w:noHBand="0" w:noVBand="1" w:val="04A0"/>
      </w:tblPr>
      <w:tblGrid>
        <w:gridCol w:w="3312"/>
        <w:gridCol w:w="3312"/>
        <w:gridCol w:w="3312"/>
      </w:tblGrid>
      <w:tr>
        <w:tc>
          <w:tcPr>
            <w:tcW w:type="dxa" w:w="3312"/>
            <w:tcMar>
              <w:top w:w="80" w:type="dxa"/>
              <w:bottom w:w="80" w:type="dxa"/>
              <w:left w:w="100" w:type="dxa"/>
              <w:right w:w="100" w:type="dxa"/>
            </w:tcMar>
            <w:shd w:fill="1B4F72"/>
          </w:tcPr>
          <w:p>
            <w:r>
              <w:rPr>
                <w:b/>
                <w:color w:val="FFFFFF"/>
                <w:sz w:val="17"/>
              </w:rPr>
              <w:t>Component / Stage</w:t>
            </w:r>
          </w:p>
        </w:tc>
        <w:tc>
          <w:tcPr>
            <w:tcW w:type="dxa" w:w="3312"/>
            <w:tcMar>
              <w:top w:w="80" w:type="dxa"/>
              <w:bottom w:w="80" w:type="dxa"/>
              <w:left w:w="100" w:type="dxa"/>
              <w:right w:w="100" w:type="dxa"/>
            </w:tcMar>
            <w:shd w:fill="1B4F72"/>
          </w:tcPr>
          <w:p>
            <w:r>
              <w:rPr>
                <w:b/>
                <w:color w:val="FFFFFF"/>
                <w:sz w:val="17"/>
              </w:rPr>
              <w:t>Hyperparameter</w:t>
            </w:r>
          </w:p>
        </w:tc>
        <w:tc>
          <w:tcPr>
            <w:tcW w:type="dxa" w:w="3312"/>
            <w:tcMar>
              <w:top w:w="80" w:type="dxa"/>
              <w:bottom w:w="80" w:type="dxa"/>
              <w:left w:w="100" w:type="dxa"/>
              <w:right w:w="100" w:type="dxa"/>
            </w:tcMar>
            <w:shd w:fill="1B4F72"/>
          </w:tcPr>
          <w:p>
            <w:r>
              <w:rPr>
                <w:b/>
                <w:color w:val="FFFFFF"/>
                <w:sz w:val="17"/>
              </w:rPr>
              <w:t>Operational Specification</w:t>
            </w:r>
          </w:p>
        </w:tc>
      </w:tr>
      <w:tr>
        <w:tc>
          <w:tcPr>
            <w:tcW w:type="dxa" w:w="3312"/>
            <w:tcMar>
              <w:top w:w="80" w:type="dxa"/>
              <w:bottom w:w="80" w:type="dxa"/>
              <w:left w:w="100" w:type="dxa"/>
              <w:right w:w="100" w:type="dxa"/>
            </w:tcMar>
            <w:shd w:fill="F8F9F9"/>
          </w:tcPr>
          <w:p>
            <w:r>
              <w:rPr>
                <w:sz w:val="16"/>
              </w:rPr>
              <w:t>Visual Branch (ResNet-50)</w:t>
            </w:r>
          </w:p>
        </w:tc>
        <w:tc>
          <w:tcPr>
            <w:tcW w:type="dxa" w:w="3312"/>
            <w:tcMar>
              <w:top w:w="80" w:type="dxa"/>
              <w:bottom w:w="80" w:type="dxa"/>
              <w:left w:w="100" w:type="dxa"/>
              <w:right w:w="100" w:type="dxa"/>
            </w:tcMar>
            <w:shd w:fill="F8F9F9"/>
          </w:tcPr>
          <w:p>
            <w:r>
              <w:rPr>
                <w:sz w:val="16"/>
              </w:rPr>
              <w:t>Pretrained Weights / Epochs</w:t>
            </w:r>
          </w:p>
        </w:tc>
        <w:tc>
          <w:tcPr>
            <w:tcW w:type="dxa" w:w="3312"/>
            <w:tcMar>
              <w:top w:w="80" w:type="dxa"/>
              <w:bottom w:w="80" w:type="dxa"/>
              <w:left w:w="100" w:type="dxa"/>
              <w:right w:w="100" w:type="dxa"/>
            </w:tcMar>
            <w:shd w:fill="F8F9F9"/>
          </w:tcPr>
          <w:p>
            <w:r>
              <w:rPr>
                <w:sz w:val="16"/>
              </w:rPr>
              <w:t>ImageNet-1K Pretrained / 20 Epochs Fine-Tuning</w:t>
            </w:r>
          </w:p>
        </w:tc>
      </w:tr>
      <w:tr>
        <w:tc>
          <w:tcPr>
            <w:tcW w:type="dxa" w:w="3312"/>
            <w:tcMar>
              <w:top w:w="80" w:type="dxa"/>
              <w:bottom w:w="80" w:type="dxa"/>
              <w:left w:w="100" w:type="dxa"/>
              <w:right w:w="100" w:type="dxa"/>
            </w:tcMar>
            <w:shd w:fill="FFFFFF"/>
          </w:tcPr>
          <w:p>
            <w:r>
              <w:rPr>
                <w:sz w:val="16"/>
              </w:rPr>
              <w:t>Visual Branch</w:t>
            </w:r>
          </w:p>
        </w:tc>
        <w:tc>
          <w:tcPr>
            <w:tcW w:type="dxa" w:w="3312"/>
            <w:tcMar>
              <w:top w:w="80" w:type="dxa"/>
              <w:bottom w:w="80" w:type="dxa"/>
              <w:left w:w="100" w:type="dxa"/>
              <w:right w:w="100" w:type="dxa"/>
            </w:tcMar>
            <w:shd w:fill="FFFFFF"/>
          </w:tcPr>
          <w:p>
            <w:r>
              <w:rPr>
                <w:sz w:val="16"/>
              </w:rPr>
              <w:t>Optimizer / Learning Rate</w:t>
            </w:r>
          </w:p>
        </w:tc>
        <w:tc>
          <w:tcPr>
            <w:tcW w:type="dxa" w:w="3312"/>
            <w:tcMar>
              <w:top w:w="80" w:type="dxa"/>
              <w:bottom w:w="80" w:type="dxa"/>
              <w:left w:w="100" w:type="dxa"/>
              <w:right w:w="100" w:type="dxa"/>
            </w:tcMar>
            <w:shd w:fill="FFFFFF"/>
          </w:tcPr>
          <w:p>
            <w:r>
              <w:rPr>
                <w:sz w:val="16"/>
              </w:rPr>
              <w:t>AdamW / 1e-4 initial with Cosine Annealing</w:t>
            </w:r>
          </w:p>
        </w:tc>
      </w:tr>
      <w:tr>
        <w:tc>
          <w:tcPr>
            <w:tcW w:type="dxa" w:w="3312"/>
            <w:tcMar>
              <w:top w:w="80" w:type="dxa"/>
              <w:bottom w:w="80" w:type="dxa"/>
              <w:left w:w="100" w:type="dxa"/>
              <w:right w:w="100" w:type="dxa"/>
            </w:tcMar>
            <w:shd w:fill="F8F9F9"/>
          </w:tcPr>
          <w:p>
            <w:r>
              <w:rPr>
                <w:sz w:val="16"/>
              </w:rPr>
              <w:t>Clinical Branch (MLP)</w:t>
            </w:r>
          </w:p>
        </w:tc>
        <w:tc>
          <w:tcPr>
            <w:tcW w:type="dxa" w:w="3312"/>
            <w:tcMar>
              <w:top w:w="80" w:type="dxa"/>
              <w:bottom w:w="80" w:type="dxa"/>
              <w:left w:w="100" w:type="dxa"/>
              <w:right w:w="100" w:type="dxa"/>
            </w:tcMar>
            <w:shd w:fill="F8F9F9"/>
          </w:tcPr>
          <w:p>
            <w:r>
              <w:rPr>
                <w:sz w:val="16"/>
              </w:rPr>
              <w:t>Architecture / Hidden Units</w:t>
            </w:r>
          </w:p>
        </w:tc>
        <w:tc>
          <w:tcPr>
            <w:tcW w:type="dxa" w:w="3312"/>
            <w:tcMar>
              <w:top w:w="80" w:type="dxa"/>
              <w:bottom w:w="80" w:type="dxa"/>
              <w:left w:w="100" w:type="dxa"/>
              <w:right w:w="100" w:type="dxa"/>
            </w:tcMar>
            <w:shd w:fill="F8F9F9"/>
          </w:tcPr>
          <w:p>
            <w:r>
              <w:rPr>
                <w:sz w:val="16"/>
              </w:rPr>
              <w:t>Linear(28, 64) -&gt; BatchNorm -&gt; ReLU -&gt; Dropout(0.20)</w:t>
            </w:r>
          </w:p>
        </w:tc>
      </w:tr>
      <w:tr>
        <w:tc>
          <w:tcPr>
            <w:tcW w:type="dxa" w:w="3312"/>
            <w:tcMar>
              <w:top w:w="80" w:type="dxa"/>
              <w:bottom w:w="80" w:type="dxa"/>
              <w:left w:w="100" w:type="dxa"/>
              <w:right w:w="100" w:type="dxa"/>
            </w:tcMar>
            <w:shd w:fill="FFFFFF"/>
          </w:tcPr>
          <w:p>
            <w:r>
              <w:rPr>
                <w:sz w:val="16"/>
              </w:rPr>
              <w:t>Fusion Head</w:t>
            </w:r>
          </w:p>
        </w:tc>
        <w:tc>
          <w:tcPr>
            <w:tcW w:type="dxa" w:w="3312"/>
            <w:tcMar>
              <w:top w:w="80" w:type="dxa"/>
              <w:bottom w:w="80" w:type="dxa"/>
              <w:left w:w="100" w:type="dxa"/>
              <w:right w:w="100" w:type="dxa"/>
            </w:tcMar>
            <w:shd w:fill="FFFFFF"/>
          </w:tcPr>
          <w:p>
            <w:r>
              <w:rPr>
                <w:sz w:val="16"/>
              </w:rPr>
              <w:t>Concatenation Dimension</w:t>
            </w:r>
          </w:p>
        </w:tc>
        <w:tc>
          <w:tcPr>
            <w:tcW w:type="dxa" w:w="3312"/>
            <w:tcMar>
              <w:top w:w="80" w:type="dxa"/>
              <w:bottom w:w="80" w:type="dxa"/>
              <w:left w:w="100" w:type="dxa"/>
              <w:right w:w="100" w:type="dxa"/>
            </w:tcMar>
            <w:shd w:fill="FFFFFF"/>
          </w:tcPr>
          <w:p>
            <w:r>
              <w:rPr>
                <w:sz w:val="16"/>
              </w:rPr>
              <w:t>256-D (Visual) + 64-D (Clinical) = 320-D Fused Vector</w:t>
            </w:r>
          </w:p>
        </w:tc>
      </w:tr>
      <w:tr>
        <w:tc>
          <w:tcPr>
            <w:tcW w:type="dxa" w:w="3312"/>
            <w:tcMar>
              <w:top w:w="80" w:type="dxa"/>
              <w:bottom w:w="80" w:type="dxa"/>
              <w:left w:w="100" w:type="dxa"/>
              <w:right w:w="100" w:type="dxa"/>
            </w:tcMar>
            <w:shd w:fill="F8F9F9"/>
          </w:tcPr>
          <w:p>
            <w:r>
              <w:rPr>
                <w:sz w:val="16"/>
              </w:rPr>
              <w:t>Classification Head</w:t>
            </w:r>
          </w:p>
        </w:tc>
        <w:tc>
          <w:tcPr>
            <w:tcW w:type="dxa" w:w="3312"/>
            <w:tcMar>
              <w:top w:w="80" w:type="dxa"/>
              <w:bottom w:w="80" w:type="dxa"/>
              <w:left w:w="100" w:type="dxa"/>
              <w:right w:w="100" w:type="dxa"/>
            </w:tcMar>
            <w:shd w:fill="F8F9F9"/>
          </w:tcPr>
          <w:p>
            <w:r>
              <w:rPr>
                <w:sz w:val="16"/>
              </w:rPr>
              <w:t>Hidden Layer / Regularization</w:t>
            </w:r>
          </w:p>
        </w:tc>
        <w:tc>
          <w:tcPr>
            <w:tcW w:type="dxa" w:w="3312"/>
            <w:tcMar>
              <w:top w:w="80" w:type="dxa"/>
              <w:bottom w:w="80" w:type="dxa"/>
              <w:left w:w="100" w:type="dxa"/>
              <w:right w:w="100" w:type="dxa"/>
            </w:tcMar>
            <w:shd w:fill="F8F9F9"/>
          </w:tcPr>
          <w:p>
            <w:r>
              <w:rPr>
                <w:sz w:val="16"/>
              </w:rPr>
              <w:t>Linear(320, 128) -&gt; BatchNorm -&gt; ReLU -&gt; Dropout(0.30) -&gt; Linear(128, 2)</w:t>
            </w:r>
          </w:p>
        </w:tc>
      </w:tr>
      <w:tr>
        <w:tc>
          <w:tcPr>
            <w:tcW w:type="dxa" w:w="3312"/>
            <w:tcMar>
              <w:top w:w="80" w:type="dxa"/>
              <w:bottom w:w="80" w:type="dxa"/>
              <w:left w:w="100" w:type="dxa"/>
              <w:right w:w="100" w:type="dxa"/>
            </w:tcMar>
            <w:shd w:fill="FFFFFF"/>
          </w:tcPr>
          <w:p>
            <w:r>
              <w:rPr>
                <w:sz w:val="16"/>
              </w:rPr>
              <w:t>Loss Function</w:t>
            </w:r>
          </w:p>
        </w:tc>
        <w:tc>
          <w:tcPr>
            <w:tcW w:type="dxa" w:w="3312"/>
            <w:tcMar>
              <w:top w:w="80" w:type="dxa"/>
              <w:bottom w:w="80" w:type="dxa"/>
              <w:left w:w="100" w:type="dxa"/>
              <w:right w:w="100" w:type="dxa"/>
            </w:tcMar>
            <w:shd w:fill="FFFFFF"/>
          </w:tcPr>
          <w:p>
            <w:r>
              <w:rPr>
                <w:sz w:val="16"/>
              </w:rPr>
              <w:t>Loss Formulation</w:t>
            </w:r>
          </w:p>
        </w:tc>
        <w:tc>
          <w:tcPr>
            <w:tcW w:type="dxa" w:w="3312"/>
            <w:tcMar>
              <w:top w:w="80" w:type="dxa"/>
              <w:bottom w:w="80" w:type="dxa"/>
              <w:left w:w="100" w:type="dxa"/>
              <w:right w:w="100" w:type="dxa"/>
            </w:tcMar>
            <w:shd w:fill="FFFFFF"/>
          </w:tcPr>
          <w:p>
            <w:r>
              <w:rPr>
                <w:sz w:val="16"/>
              </w:rPr>
              <w:t>Weighted Cross-Entropy (Class-weight balanced)</w:t>
            </w:r>
          </w:p>
        </w:tc>
      </w:tr>
      <w:tr>
        <w:tc>
          <w:tcPr>
            <w:tcW w:type="dxa" w:w="3312"/>
            <w:tcMar>
              <w:top w:w="80" w:type="dxa"/>
              <w:bottom w:w="80" w:type="dxa"/>
              <w:left w:w="100" w:type="dxa"/>
              <w:right w:w="100" w:type="dxa"/>
            </w:tcMar>
            <w:shd w:fill="F8F9F9"/>
          </w:tcPr>
          <w:p>
            <w:r>
              <w:rPr>
                <w:sz w:val="16"/>
              </w:rPr>
              <w:t>Inference Routing</w:t>
            </w:r>
          </w:p>
        </w:tc>
        <w:tc>
          <w:tcPr>
            <w:tcW w:type="dxa" w:w="3312"/>
            <w:tcMar>
              <w:top w:w="80" w:type="dxa"/>
              <w:bottom w:w="80" w:type="dxa"/>
              <w:left w:w="100" w:type="dxa"/>
              <w:right w:w="100" w:type="dxa"/>
            </w:tcMar>
            <w:shd w:fill="F8F9F9"/>
          </w:tcPr>
          <w:p>
            <w:r>
              <w:rPr>
                <w:sz w:val="16"/>
              </w:rPr>
              <w:t>Decision Threshold</w:t>
            </w:r>
          </w:p>
        </w:tc>
        <w:tc>
          <w:tcPr>
            <w:tcW w:type="dxa" w:w="3312"/>
            <w:tcMar>
              <w:top w:w="80" w:type="dxa"/>
              <w:bottom w:w="80" w:type="dxa"/>
              <w:left w:w="100" w:type="dxa"/>
              <w:right w:w="100" w:type="dxa"/>
            </w:tcMar>
            <w:shd w:fill="F8F9F9"/>
          </w:tcPr>
          <w:p>
            <w:r>
              <w:rPr>
                <w:sz w:val="16"/>
              </w:rPr>
              <w:t>0.50 (Standard Balanced) / 0.15 (High-Sensitivity Screening)</w:t>
            </w:r>
          </w:p>
        </w:tc>
      </w:tr>
    </w:tbl>
    <w:p/>
    <w:p>
      <w:pPr>
        <w:keepNext/>
        <w:spacing w:before="280" w:after="80"/>
      </w:pPr>
      <w:r>
        <w:rPr>
          <w:rFonts w:ascii="Calibri" w:hAnsi="Calibri"/>
          <w:b/>
          <w:color w:val="1B4F72"/>
          <w:sz w:val="28"/>
        </w:rPr>
        <w:t>5. Comparison with Existing Methods</w:t>
      </w:r>
    </w:p>
    <w:p>
      <w:r>
        <w:t>To contextualize our findings, Table 8 benchmarks the proposed multimodal framework against published unimodal and multimodal monkeypox diagnostic methods reported in the recent medical literature.</w:t>
      </w:r>
    </w:p>
    <w:p>
      <w:r>
        <w:rPr>
          <w:b/>
        </w:rPr>
        <w:t>Table 8: Comparative analysis of diagnostic methodologies for monkeypox detection</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80" w:type="dxa"/>
              <w:bottom w:w="80" w:type="dxa"/>
              <w:left w:w="100" w:type="dxa"/>
              <w:right w:w="100" w:type="dxa"/>
            </w:tcMar>
            <w:shd w:fill="1B4F72"/>
          </w:tcPr>
          <w:p>
            <w:r>
              <w:rPr>
                <w:b/>
                <w:color w:val="FFFFFF"/>
                <w:sz w:val="17"/>
              </w:rPr>
              <w:t>Reference</w:t>
            </w:r>
          </w:p>
        </w:tc>
        <w:tc>
          <w:tcPr>
            <w:tcW w:type="dxa" w:w="2484"/>
            <w:tcMar>
              <w:top w:w="80" w:type="dxa"/>
              <w:bottom w:w="80" w:type="dxa"/>
              <w:left w:w="100" w:type="dxa"/>
              <w:right w:w="100" w:type="dxa"/>
            </w:tcMar>
            <w:shd w:fill="1B4F72"/>
          </w:tcPr>
          <w:p>
            <w:r>
              <w:rPr>
                <w:b/>
                <w:color w:val="FFFFFF"/>
                <w:sz w:val="17"/>
              </w:rPr>
              <w:t>Technique &amp; Modality</w:t>
            </w:r>
          </w:p>
        </w:tc>
        <w:tc>
          <w:tcPr>
            <w:tcW w:type="dxa" w:w="2484"/>
            <w:tcMar>
              <w:top w:w="80" w:type="dxa"/>
              <w:bottom w:w="80" w:type="dxa"/>
              <w:left w:w="100" w:type="dxa"/>
              <w:right w:w="100" w:type="dxa"/>
            </w:tcMar>
            <w:shd w:fill="1B4F72"/>
          </w:tcPr>
          <w:p>
            <w:r>
              <w:rPr>
                <w:b/>
                <w:color w:val="FFFFFF"/>
                <w:sz w:val="17"/>
              </w:rPr>
              <w:t>Key Reported Performance</w:t>
            </w:r>
          </w:p>
        </w:tc>
        <w:tc>
          <w:tcPr>
            <w:tcW w:type="dxa" w:w="2484"/>
            <w:tcMar>
              <w:top w:w="80" w:type="dxa"/>
              <w:bottom w:w="80" w:type="dxa"/>
              <w:left w:w="100" w:type="dxa"/>
              <w:right w:w="100" w:type="dxa"/>
            </w:tcMar>
            <w:shd w:fill="1B4F72"/>
          </w:tcPr>
          <w:p>
            <w:r>
              <w:rPr>
                <w:b/>
                <w:color w:val="FFFFFF"/>
                <w:sz w:val="17"/>
              </w:rPr>
              <w:t>Primary Clinical / Technical Limitation</w:t>
            </w:r>
          </w:p>
        </w:tc>
      </w:tr>
      <w:tr>
        <w:tc>
          <w:tcPr>
            <w:tcW w:type="dxa" w:w="2484"/>
            <w:tcMar>
              <w:top w:w="80" w:type="dxa"/>
              <w:bottom w:w="80" w:type="dxa"/>
              <w:left w:w="100" w:type="dxa"/>
              <w:right w:w="100" w:type="dxa"/>
            </w:tcMar>
            <w:shd w:fill="F8F9F9"/>
          </w:tcPr>
          <w:p>
            <w:r>
              <w:rPr>
                <w:sz w:val="16"/>
              </w:rPr>
              <w:t>Hamdan &amp; Ekmekci (2024) [2]</w:t>
            </w:r>
          </w:p>
        </w:tc>
        <w:tc>
          <w:tcPr>
            <w:tcW w:type="dxa" w:w="2484"/>
            <w:tcMar>
              <w:top w:w="80" w:type="dxa"/>
              <w:bottom w:w="80" w:type="dxa"/>
              <w:left w:w="100" w:type="dxa"/>
              <w:right w:w="100" w:type="dxa"/>
            </w:tcMar>
            <w:shd w:fill="F8F9F9"/>
          </w:tcPr>
          <w:p>
            <w:r>
              <w:rPr>
                <w:sz w:val="16"/>
              </w:rPr>
              <w:t>ANN + Artificial Bee Colony (Clinical Symptoms)</w:t>
            </w:r>
          </w:p>
        </w:tc>
        <w:tc>
          <w:tcPr>
            <w:tcW w:type="dxa" w:w="2484"/>
            <w:tcMar>
              <w:top w:w="80" w:type="dxa"/>
              <w:bottom w:w="80" w:type="dxa"/>
              <w:left w:w="100" w:type="dxa"/>
              <w:right w:w="100" w:type="dxa"/>
            </w:tcMar>
            <w:shd w:fill="F8F9F9"/>
          </w:tcPr>
          <w:p>
            <w:r>
              <w:rPr>
                <w:sz w:val="16"/>
              </w:rPr>
              <w:t>Accuracy = 75.00%</w:t>
            </w:r>
          </w:p>
        </w:tc>
        <w:tc>
          <w:tcPr>
            <w:tcW w:type="dxa" w:w="2484"/>
            <w:tcMar>
              <w:top w:w="80" w:type="dxa"/>
              <w:bottom w:w="80" w:type="dxa"/>
              <w:left w:w="100" w:type="dxa"/>
              <w:right w:w="100" w:type="dxa"/>
            </w:tcMar>
            <w:shd w:fill="F8F9F9"/>
          </w:tcPr>
          <w:p>
            <w:r>
              <w:rPr>
                <w:sz w:val="16"/>
              </w:rPr>
              <w:t>Excludes physical lesion imagery; moderate error rate on small cohort.</w:t>
            </w:r>
          </w:p>
        </w:tc>
      </w:tr>
      <w:tr>
        <w:tc>
          <w:tcPr>
            <w:tcW w:type="dxa" w:w="2484"/>
            <w:tcMar>
              <w:top w:w="80" w:type="dxa"/>
              <w:bottom w:w="80" w:type="dxa"/>
              <w:left w:w="100" w:type="dxa"/>
              <w:right w:w="100" w:type="dxa"/>
            </w:tcMar>
            <w:shd w:fill="FFFFFF"/>
          </w:tcPr>
          <w:p>
            <w:r>
              <w:rPr>
                <w:sz w:val="16"/>
              </w:rPr>
              <w:t>Alakus (2023) [18]</w:t>
            </w:r>
          </w:p>
        </w:tc>
        <w:tc>
          <w:tcPr>
            <w:tcW w:type="dxa" w:w="2484"/>
            <w:tcMar>
              <w:top w:w="80" w:type="dxa"/>
              <w:bottom w:w="80" w:type="dxa"/>
              <w:left w:w="100" w:type="dxa"/>
              <w:right w:w="100" w:type="dxa"/>
            </w:tcMar>
            <w:shd w:fill="FFFFFF"/>
          </w:tcPr>
          <w:p>
            <w:r>
              <w:rPr>
                <w:sz w:val="16"/>
              </w:rPr>
              <w:t>Siamese Deep Learning (Skin Lesion Images)</w:t>
            </w:r>
          </w:p>
        </w:tc>
        <w:tc>
          <w:tcPr>
            <w:tcW w:type="dxa" w:w="2484"/>
            <w:tcMar>
              <w:top w:w="80" w:type="dxa"/>
              <w:bottom w:w="80" w:type="dxa"/>
              <w:left w:w="100" w:type="dxa"/>
              <w:right w:w="100" w:type="dxa"/>
            </w:tcMar>
            <w:shd w:fill="FFFFFF"/>
          </w:tcPr>
          <w:p>
            <w:r>
              <w:rPr>
                <w:sz w:val="16"/>
              </w:rPr>
              <w:t>Accuracy = 91.09%</w:t>
            </w:r>
          </w:p>
        </w:tc>
        <w:tc>
          <w:tcPr>
            <w:tcW w:type="dxa" w:w="2484"/>
            <w:tcMar>
              <w:top w:w="80" w:type="dxa"/>
              <w:bottom w:w="80" w:type="dxa"/>
              <w:left w:w="100" w:type="dxa"/>
              <w:right w:w="100" w:type="dxa"/>
            </w:tcMar>
            <w:shd w:fill="FFFFFF"/>
          </w:tcPr>
          <w:p>
            <w:r>
              <w:rPr>
                <w:sz w:val="16"/>
              </w:rPr>
              <w:t>Purely image-based; vulnerable to look-alike lesions without prodromal context.</w:t>
            </w:r>
          </w:p>
        </w:tc>
      </w:tr>
      <w:tr>
        <w:tc>
          <w:tcPr>
            <w:tcW w:type="dxa" w:w="2484"/>
            <w:tcMar>
              <w:top w:w="80" w:type="dxa"/>
              <w:bottom w:w="80" w:type="dxa"/>
              <w:left w:w="100" w:type="dxa"/>
              <w:right w:w="100" w:type="dxa"/>
            </w:tcMar>
            <w:shd w:fill="F8F9F9"/>
          </w:tcPr>
          <w:p>
            <w:r>
              <w:rPr>
                <w:sz w:val="16"/>
              </w:rPr>
              <w:t>Thieme et al. (2023) [25]</w:t>
            </w:r>
          </w:p>
        </w:tc>
        <w:tc>
          <w:tcPr>
            <w:tcW w:type="dxa" w:w="2484"/>
            <w:tcMar>
              <w:top w:w="80" w:type="dxa"/>
              <w:bottom w:w="80" w:type="dxa"/>
              <w:left w:w="100" w:type="dxa"/>
              <w:right w:w="100" w:type="dxa"/>
            </w:tcMar>
            <w:shd w:fill="F8F9F9"/>
          </w:tcPr>
          <w:p>
            <w:r>
              <w:rPr>
                <w:sz w:val="16"/>
              </w:rPr>
              <w:t>Deep CNN Transfer Learning (Skin Lesions)</w:t>
            </w:r>
          </w:p>
        </w:tc>
        <w:tc>
          <w:tcPr>
            <w:tcW w:type="dxa" w:w="2484"/>
            <w:tcMar>
              <w:top w:w="80" w:type="dxa"/>
              <w:bottom w:w="80" w:type="dxa"/>
              <w:left w:w="100" w:type="dxa"/>
              <w:right w:w="100" w:type="dxa"/>
            </w:tcMar>
            <w:shd w:fill="F8F9F9"/>
          </w:tcPr>
          <w:p>
            <w:r>
              <w:rPr>
                <w:sz w:val="16"/>
              </w:rPr>
              <w:t>Sensitivity = 85.0%, Specificity = 90.0%</w:t>
            </w:r>
          </w:p>
        </w:tc>
        <w:tc>
          <w:tcPr>
            <w:tcW w:type="dxa" w:w="2484"/>
            <w:tcMar>
              <w:top w:w="80" w:type="dxa"/>
              <w:bottom w:w="80" w:type="dxa"/>
              <w:left w:w="100" w:type="dxa"/>
              <w:right w:w="100" w:type="dxa"/>
            </w:tcMar>
            <w:shd w:fill="F8F9F9"/>
          </w:tcPr>
          <w:p>
            <w:r>
              <w:rPr>
                <w:sz w:val="16"/>
              </w:rPr>
              <w:t>Single-modality image pipeline; susceptible to skin pigmentation and lighting variations.</w:t>
            </w:r>
          </w:p>
        </w:tc>
      </w:tr>
      <w:tr>
        <w:tc>
          <w:tcPr>
            <w:tcW w:type="dxa" w:w="2484"/>
            <w:tcMar>
              <w:top w:w="80" w:type="dxa"/>
              <w:bottom w:w="80" w:type="dxa"/>
              <w:left w:w="100" w:type="dxa"/>
              <w:right w:w="100" w:type="dxa"/>
            </w:tcMar>
            <w:shd w:fill="FFFFFF"/>
          </w:tcPr>
          <w:p>
            <w:r>
              <w:rPr>
                <w:sz w:val="16"/>
              </w:rPr>
              <w:t>Setegn &amp; Dejene (2025) [34]</w:t>
            </w:r>
          </w:p>
        </w:tc>
        <w:tc>
          <w:tcPr>
            <w:tcW w:type="dxa" w:w="2484"/>
            <w:tcMar>
              <w:top w:w="80" w:type="dxa"/>
              <w:bottom w:w="80" w:type="dxa"/>
              <w:left w:w="100" w:type="dxa"/>
              <w:right w:w="100" w:type="dxa"/>
            </w:tcMar>
            <w:shd w:fill="FFFFFF"/>
          </w:tcPr>
          <w:p>
            <w:r>
              <w:rPr>
                <w:sz w:val="16"/>
              </w:rPr>
              <w:t>LGBM + SMOTE + XAI (Clinical Symptoms)</w:t>
            </w:r>
          </w:p>
        </w:tc>
        <w:tc>
          <w:tcPr>
            <w:tcW w:type="dxa" w:w="2484"/>
            <w:tcMar>
              <w:top w:w="80" w:type="dxa"/>
              <w:bottom w:w="80" w:type="dxa"/>
              <w:left w:w="100" w:type="dxa"/>
              <w:right w:w="100" w:type="dxa"/>
            </w:tcMar>
            <w:shd w:fill="FFFFFF"/>
          </w:tcPr>
          <w:p>
            <w:r>
              <w:rPr>
                <w:sz w:val="16"/>
              </w:rPr>
              <w:t>Accuracy = 89.30%, F1 = 90.20%</w:t>
            </w:r>
          </w:p>
        </w:tc>
        <w:tc>
          <w:tcPr>
            <w:tcW w:type="dxa" w:w="2484"/>
            <w:tcMar>
              <w:top w:w="80" w:type="dxa"/>
              <w:bottom w:w="80" w:type="dxa"/>
              <w:left w:w="100" w:type="dxa"/>
              <w:right w:w="100" w:type="dxa"/>
            </w:tcMar>
            <w:shd w:fill="FFFFFF"/>
          </w:tcPr>
          <w:p>
            <w:r>
              <w:rPr>
                <w:sz w:val="16"/>
              </w:rPr>
              <w:t>Symptom-only analysis; unable to confirm physical lesion morphology or staging.</w:t>
            </w:r>
          </w:p>
        </w:tc>
      </w:tr>
      <w:tr>
        <w:tc>
          <w:tcPr>
            <w:tcW w:type="dxa" w:w="2484"/>
            <w:tcMar>
              <w:top w:w="80" w:type="dxa"/>
              <w:bottom w:w="80" w:type="dxa"/>
              <w:left w:w="100" w:type="dxa"/>
              <w:right w:w="100" w:type="dxa"/>
            </w:tcMar>
            <w:shd w:fill="F8F9F9"/>
          </w:tcPr>
          <w:p>
            <w:r>
              <w:rPr>
                <w:sz w:val="16"/>
              </w:rPr>
              <w:t>Proposed Method (Pox Scanner)</w:t>
            </w:r>
          </w:p>
        </w:tc>
        <w:tc>
          <w:tcPr>
            <w:tcW w:type="dxa" w:w="2484"/>
            <w:tcMar>
              <w:top w:w="80" w:type="dxa"/>
              <w:bottom w:w="80" w:type="dxa"/>
              <w:left w:w="100" w:type="dxa"/>
              <w:right w:w="100" w:type="dxa"/>
            </w:tcMar>
            <w:shd w:fill="F8F9F9"/>
          </w:tcPr>
          <w:p>
            <w:r>
              <w:rPr>
                <w:sz w:val="16"/>
              </w:rPr>
              <w:t>Multimodal ResNet-50 + Clinical MLP (Images + Symptoms)</w:t>
            </w:r>
          </w:p>
        </w:tc>
        <w:tc>
          <w:tcPr>
            <w:tcW w:type="dxa" w:w="2484"/>
            <w:tcMar>
              <w:top w:w="80" w:type="dxa"/>
              <w:bottom w:w="80" w:type="dxa"/>
              <w:left w:w="100" w:type="dxa"/>
              <w:right w:w="100" w:type="dxa"/>
            </w:tcMar>
            <w:shd w:fill="F8F9F9"/>
          </w:tcPr>
          <w:p>
            <w:r>
              <w:rPr>
                <w:sz w:val="16"/>
              </w:rPr>
              <w:t>Accuracy = 90.37%, Prec = 75.0%, Sens = 75.0%, Spec = 94.04%, AUC = 93.60%</w:t>
            </w:r>
          </w:p>
        </w:tc>
        <w:tc>
          <w:tcPr>
            <w:tcW w:type="dxa" w:w="2484"/>
            <w:tcMar>
              <w:top w:w="80" w:type="dxa"/>
              <w:bottom w:w="80" w:type="dxa"/>
              <w:left w:w="100" w:type="dxa"/>
              <w:right w:w="100" w:type="dxa"/>
            </w:tcMar>
            <w:shd w:fill="F8F9F9"/>
          </w:tcPr>
          <w:p>
            <w:r>
              <w:rPr>
                <w:sz w:val="16"/>
              </w:rPr>
              <w:t>Unified late-fusion with dual XAI; 43.5% reduction in false positives vs. image baseline.</w:t>
            </w:r>
          </w:p>
        </w:tc>
      </w:tr>
    </w:tbl>
    <w:p/>
    <w:p>
      <w:pPr>
        <w:keepNext/>
        <w:spacing w:before="280" w:after="80"/>
      </w:pPr>
      <w:r>
        <w:rPr>
          <w:rFonts w:ascii="Calibri" w:hAnsi="Calibri"/>
          <w:b/>
          <w:color w:val="1B4F72"/>
          <w:sz w:val="28"/>
        </w:rPr>
        <w:t>6. Discussion</w:t>
      </w:r>
    </w:p>
    <w:p>
      <w:r>
        <w:t>The empirical findings of this research address the central research question: Does combining clinical symptoms with skin lesion images provide a more comprehensive and accurate monkeypox detection framework than using either modality independently? The experimental results provide strong affirmative evidence.</w:t>
      </w:r>
    </w:p>
    <w:p>
      <w:r>
        <w:t>1. The Complementary Synergy of Visual and Clinical Features: In real-world clinical triage, diagnosis is rarely based on a single biological signal. Cutaneous lesion photographs capture localized morphological characteristics—such as central umbilication, erythematous borders, and discrete vesicle-to-pustule transitions—while clinical intake captures systemic prodromal dynamics, such as acute-onset fever, mucosal ulcerations, and regional lymphadenopathy. By projecting these disparate data streams into a joint 320-dimensional embedding space, the Multimodal Model (Model C) enables the classifier to cross-validate visual evidence against clinical presentation. When an ambiguous rash resembling chickenpox or acne is analyzed, the absence of high fever and lymphadenopathy suppresses false-positive activation, yielding a 43.5% relative drop in false alarms (from 23 to 13).</w:t>
      </w:r>
    </w:p>
    <w:p>
      <w:r>
        <w:t>2. Backbone Selection and Architectural Rationale: Among the four evaluated vision backbones, ResNet-50 outperformed DenseNet-121, EfficientNet-B0, and MobileNet-V3-Small. Residual connections facilitate gradient propagation across deep convolutional layers, enabling the model to learn fine-grained dermatological textures without catastrophic forgetting or optimization degradation. Furthermore, ResNet-50 exhibited the tightest generalization gap between validation and test splits (0.11 F1 gap), reflecting superior architectural stability.</w:t>
      </w:r>
    </w:p>
    <w:p>
      <w:r>
        <w:t>3. Clinical Utility of Dual Explainability: A major impediment to AI deployment in medicine is clinician distrust of black-box predictions. The proposed framework delivers dual-layer transparency: Grad-CAM spatial heatmaps allow dermatologists to verify that the visual backbone is attending to genuine pathological lesion features, while feature attribution weights inform triage nurses which systemic symptoms most heavily influenced the risk score.</w:t>
      </w:r>
    </w:p>
    <w:p>
      <w:r>
        <w:t>4. Ethical Framing as a Clinical Decision-Support Tool: It is vital to emphasize that Pox Scanner is designed strictly as a research and educational clinical decision-support system, not an autonomous diagnostic device. Definitive diagnosis of monkeypox continues to require laboratory molecular confirmation via RT-PCR. The proposed system serves as an early-warning screening assistant to prioritize patients for confirmatory testing, particularly in decentralized or resource-limited healthcare environments.</w:t>
      </w:r>
    </w:p>
    <w:p>
      <w:pPr>
        <w:keepNext/>
        <w:spacing w:before="280" w:after="80"/>
      </w:pPr>
      <w:r>
        <w:rPr>
          <w:rFonts w:ascii="Calibri" w:hAnsi="Calibri"/>
          <w:b/>
          <w:color w:val="1B4F72"/>
          <w:sz w:val="28"/>
        </w:rPr>
        <w:t>7. Conclusion</w:t>
      </w:r>
    </w:p>
    <w:p>
      <w:r>
        <w:t>In this study, we developed, validated, and operationalized an explainable multimodal deep learning framework for binary monkeypox detection using skin lesion photographs and clinical symptoms. By integrating a fine-tuned ResNet-50 visual feature extractor (256-D) with a 2-stage Clinical MLP (64-D), the multimodal architecture achieved 90.37% overall accuracy, 94.04% specificity, 75.00% sensitivity, and 93.60% ROC-AUC on a strictly isolated holdout test cohort. Crucially, multimodal fusion achieved a 43.5% relative reduction in false-positive misclassifications compared to unimodal visual baselines while preserving complete sensitivity. Supported by dual-modality explainability (Grad-CAM and symptom attributions) and deployed as a high-performance microservice, this research provides a scalable, trustworthy computational foundation for infectious disease surveillance.</w:t>
      </w:r>
    </w:p>
    <w:p>
      <w:pPr>
        <w:keepNext/>
        <w:spacing w:before="280" w:after="80"/>
      </w:pPr>
      <w:r>
        <w:rPr>
          <w:rFonts w:ascii="Calibri" w:hAnsi="Calibri"/>
          <w:b/>
          <w:color w:val="1B4F72"/>
          <w:sz w:val="28"/>
        </w:rPr>
        <w:t>8. Research Limitations and Future Recommendations</w:t>
      </w:r>
    </w:p>
    <w:p>
      <w:r>
        <w:t>Despite rigorous methodology, several scientific limitations must be acknowledged:</w:t>
        <w:br/>
        <w:t>1. Dataset Scale and Demographics: The tabular clinical cohort was restricted to 211 records, necessitating SMOTE oversampling. Future work must validate the framework on larger prospective multi-center patient registries.</w:t>
        <w:br/>
        <w:t>2. Dermatological Representation: Public image repositories exhibit class imbalance (~1:2 ratio) and limited representation of diverse Fitzpatrick skin phototypes. Prospective collection must prioritize balanced representation across varied skin pigmentations and clinical settings.</w:t>
        <w:br/>
        <w:t>3. Modality Pairing: In current public datasets, image and tabular symptom records are collected in separate cohorts rather than matched at the individual patient level. Prospective clinical studies with paired patient photographs and symptoms are necessary for true joint multimodal training.</w:t>
        <w:br/>
        <w:t>4. Longitudinal Staging: The current model performs static single-timepoint classification. Future extensions should incorporate longitudinal lesion progression tracking over time.</w:t>
      </w:r>
    </w:p>
    <w:p>
      <w:pPr>
        <w:keepNext/>
        <w:spacing w:before="280" w:after="80"/>
      </w:pPr>
      <w:r>
        <w:rPr>
          <w:rFonts w:ascii="Calibri" w:hAnsi="Calibri"/>
          <w:b/>
          <w:color w:val="1B4F72"/>
          <w:sz w:val="28"/>
        </w:rPr>
        <w:t>Abbreviations</w:t>
      </w:r>
    </w:p>
    <w:p>
      <w:r>
        <w:t>• AI: Artificial Intelligence</w:t>
        <w:br/>
        <w:t>• ANN: Artificial Neural Network</w:t>
        <w:br/>
        <w:t>• ANOVA: Analysis of Variance</w:t>
        <w:br/>
        <w:t>• CDC: Centers for Disease Control and Prevention</w:t>
        <w:br/>
        <w:t>• CNN: Convolutional Neural Network</w:t>
        <w:br/>
        <w:t>• Grad-CAM: Gradient-Weighted Class Activation Mapping</w:t>
        <w:br/>
        <w:t>• MLP: Multi-Layer Perceptron</w:t>
        <w:br/>
        <w:t>• MPXV: Monkeypox Virus</w:t>
        <w:br/>
        <w:t>• PCR / RT-PCR: Reverse Transcription Polymerase Chain Reaction</w:t>
        <w:br/>
        <w:t>• pHash: Perceptual Hashing</w:t>
        <w:br/>
        <w:t>• ROC-AUC: Receiver Operating Characteristic – Area Under Curve</w:t>
        <w:br/>
        <w:t>• SHAP: SHapley Additive exPlanations</w:t>
        <w:br/>
        <w:t>• SMOTE: Synthetic Minority Oversampling Technique</w:t>
        <w:br/>
        <w:t>• WHO: World Health Organization</w:t>
        <w:br/>
        <w:t>• XAI: Explainable Artificial Intelligence</w:t>
      </w:r>
    </w:p>
    <w:p>
      <w:pPr>
        <w:keepNext/>
        <w:spacing w:before="280" w:after="80"/>
      </w:pPr>
      <w:r>
        <w:rPr>
          <w:rFonts w:ascii="Calibri" w:hAnsi="Calibri"/>
          <w:b/>
          <w:color w:val="1B4F72"/>
          <w:sz w:val="28"/>
        </w:rPr>
        <w:t>Acknowledgements</w:t>
      </w:r>
    </w:p>
    <w:p>
      <w:r>
        <w:t>The authors acknowledge the open-science research community for making dermatological lesion datasets and clinical symptom repositories publicly accessible for infectious disease informatics.</w:t>
      </w:r>
    </w:p>
    <w:p>
      <w:pPr>
        <w:keepNext/>
        <w:spacing w:before="280" w:after="80"/>
      </w:pPr>
      <w:r>
        <w:rPr>
          <w:rFonts w:ascii="Calibri" w:hAnsi="Calibri"/>
          <w:b/>
          <w:color w:val="1B4F72"/>
          <w:sz w:val="28"/>
        </w:rPr>
        <w:t>Author Contributions</w:t>
      </w:r>
    </w:p>
    <w:p>
      <w:r>
        <w:t>E.M.: Conceptualization, Methodology, Software, Deep Learning Architecture Design, Multimodal Fusion Implementation, Model Training, Validation, Formal Analysis, Writing – Original Draft Preparation, Writing – Review &amp; Editing, Visualization. All consortium members contributed to research supervision and manuscript approval.</w:t>
      </w:r>
    </w:p>
    <w:p>
      <w:pPr>
        <w:keepNext/>
        <w:spacing w:before="280" w:after="80"/>
      </w:pPr>
      <w:r>
        <w:rPr>
          <w:rFonts w:ascii="Calibri" w:hAnsi="Calibri"/>
          <w:b/>
          <w:color w:val="1B4F72"/>
          <w:sz w:val="28"/>
        </w:rPr>
        <w:t>Funding</w:t>
      </w:r>
    </w:p>
    <w:p>
      <w:r>
        <w:t>This research received no external grant funding. Computing resources were provided by the institutional laboratory.</w:t>
      </w:r>
    </w:p>
    <w:p>
      <w:pPr>
        <w:keepNext/>
        <w:spacing w:before="280" w:after="80"/>
      </w:pPr>
      <w:r>
        <w:rPr>
          <w:rFonts w:ascii="Calibri" w:hAnsi="Calibri"/>
          <w:b/>
          <w:color w:val="1B4F72"/>
          <w:sz w:val="28"/>
        </w:rPr>
        <w:t>Data Availability</w:t>
      </w:r>
    </w:p>
    <w:p>
      <w:r>
        <w:t>All code, model checkpoints, split manifests, and evaluation artifacts are maintained in the project repository: https://github.com/Eswar-M2005/poxscanner.</w:t>
      </w:r>
    </w:p>
    <w:p>
      <w:pPr>
        <w:keepNext/>
        <w:spacing w:before="280" w:after="80"/>
      </w:pPr>
      <w:r>
        <w:rPr>
          <w:rFonts w:ascii="Calibri" w:hAnsi="Calibri"/>
          <w:b/>
          <w:color w:val="1B4F72"/>
          <w:sz w:val="28"/>
        </w:rPr>
        <w:t>Declarations</w:t>
      </w:r>
    </w:p>
    <w:p>
      <w:r>
        <w:t>The authors declare that all experiments were conducted in accordance with scientific integrity standards and open-access research ethics.</w:t>
      </w:r>
    </w:p>
    <w:p>
      <w:pPr>
        <w:keepNext/>
        <w:spacing w:before="280" w:after="80"/>
      </w:pPr>
      <w:r>
        <w:rPr>
          <w:rFonts w:ascii="Calibri" w:hAnsi="Calibri"/>
          <w:b/>
          <w:color w:val="1B4F72"/>
          <w:sz w:val="28"/>
        </w:rPr>
        <w:t>Ethics Approval and Consent to Participate</w:t>
      </w:r>
    </w:p>
    <w:p>
      <w:r>
        <w:t>Not applicable. This investigation utilized publicly available, fully de-identified retrospective datasets.</w:t>
      </w:r>
    </w:p>
    <w:p>
      <w:pPr>
        <w:keepNext/>
        <w:spacing w:before="280" w:after="80"/>
      </w:pPr>
      <w:r>
        <w:rPr>
          <w:rFonts w:ascii="Calibri" w:hAnsi="Calibri"/>
          <w:b/>
          <w:color w:val="1B4F72"/>
          <w:sz w:val="28"/>
        </w:rPr>
        <w:t>Competing Interests</w:t>
      </w:r>
    </w:p>
    <w:p>
      <w:r>
        <w:t>The authors declare that they have no competing financial or personal interests.</w:t>
      </w:r>
    </w:p>
    <w:p>
      <w:pPr>
        <w:keepNext/>
        <w:spacing w:before="280" w:after="80"/>
      </w:pPr>
      <w:r>
        <w:rPr>
          <w:rFonts w:ascii="Calibri" w:hAnsi="Calibri"/>
          <w:b/>
          <w:color w:val="1B4F72"/>
          <w:sz w:val="28"/>
        </w:rPr>
        <w:t>References</w:t>
      </w:r>
    </w:p>
    <w:p>
      <w:pPr>
        <w:spacing w:before="40" w:after="60"/>
      </w:pPr>
      <w:r>
        <w:rPr>
          <w:rFonts w:ascii="Calibri" w:hAnsi="Calibri"/>
          <w:b/>
          <w:color w:val="1B4F72"/>
          <w:sz w:val="17"/>
        </w:rPr>
        <w:t xml:space="preserve">1. </w:t>
      </w:r>
      <w:r>
        <w:rPr>
          <w:rFonts w:ascii="Calibri" w:hAnsi="Calibri"/>
          <w:color w:val="3C3C3C"/>
          <w:sz w:val="17"/>
        </w:rPr>
        <w:t>Alnaji L. Machine learning in epidemiology: neural networks forecasting of Monkeypox cases. PLoS ONE. 2024;19(5):e0300216. https://doi.org/10.1371/journal.pone.0300216.</w:t>
      </w:r>
    </w:p>
    <w:p>
      <w:pPr>
        <w:spacing w:before="40" w:after="60"/>
      </w:pPr>
      <w:r>
        <w:rPr>
          <w:rFonts w:ascii="Calibri" w:hAnsi="Calibri"/>
          <w:b/>
          <w:color w:val="1B4F72"/>
          <w:sz w:val="17"/>
        </w:rPr>
        <w:t xml:space="preserve">2. </w:t>
      </w:r>
      <w:r>
        <w:rPr>
          <w:rFonts w:ascii="Calibri" w:hAnsi="Calibri"/>
          <w:color w:val="3C3C3C"/>
          <w:sz w:val="17"/>
        </w:rPr>
        <w:t>Hamdan MAK, Ekmekci D. Prediction of Monkeypox infection from clinical symptoms with adaptive artificial bee colony-based artificial neural network. Neural Comput Appl. 2024;36:10425-10440. https://doi.org/10.1007/s00521-024-09782-z.</w:t>
      </w:r>
    </w:p>
    <w:p>
      <w:pPr>
        <w:spacing w:before="40" w:after="60"/>
      </w:pPr>
      <w:r>
        <w:rPr>
          <w:rFonts w:ascii="Calibri" w:hAnsi="Calibri"/>
          <w:b/>
          <w:color w:val="1B4F72"/>
          <w:sz w:val="17"/>
        </w:rPr>
        <w:t xml:space="preserve">3. </w:t>
      </w:r>
      <w:r>
        <w:rPr>
          <w:rFonts w:ascii="Calibri" w:hAnsi="Calibri"/>
          <w:color w:val="3C3C3C"/>
          <w:sz w:val="17"/>
        </w:rPr>
        <w:t>Bleichrodt A, Dahal S, Maloney K, Casanova L, Luo R, Chowell G. Real-time forecasting the trajectory of Monkeypox outbreaks at the national and global levels, July–October 2022. BMC Med. 2023;21(1):19. https://doi.org/10.1186/s12916-022-02725-2.</w:t>
      </w:r>
    </w:p>
    <w:p>
      <w:pPr>
        <w:spacing w:before="40" w:after="60"/>
      </w:pPr>
      <w:r>
        <w:rPr>
          <w:rFonts w:ascii="Calibri" w:hAnsi="Calibri"/>
          <w:b/>
          <w:color w:val="1B4F72"/>
          <w:sz w:val="17"/>
        </w:rPr>
        <w:t xml:space="preserve">4. </w:t>
      </w:r>
      <w:r>
        <w:rPr>
          <w:rFonts w:ascii="Calibri" w:hAnsi="Calibri"/>
          <w:color w:val="3C3C3C"/>
          <w:sz w:val="17"/>
        </w:rPr>
        <w:t>Patel A, Bilinska J, Tam JC, Fontoura DDS, Mason CY, Daunt A, Snell LB, Murphy J, Potter J, Tuudah C, Sundramoorthi R. Clinical features and novel presentations of human monkeypox in a central London centre during the 2022 outbreak: descriptive case series. BMJ. 2022;378:e072410. https://doi.org/10.1136/bmj-2022-072410.</w:t>
      </w:r>
    </w:p>
    <w:p>
      <w:pPr>
        <w:spacing w:before="40" w:after="60"/>
      </w:pPr>
      <w:r>
        <w:rPr>
          <w:rFonts w:ascii="Calibri" w:hAnsi="Calibri"/>
          <w:b/>
          <w:color w:val="1B4F72"/>
          <w:sz w:val="17"/>
        </w:rPr>
        <w:t xml:space="preserve">5. </w:t>
      </w:r>
      <w:r>
        <w:rPr>
          <w:rFonts w:ascii="Calibri" w:hAnsi="Calibri"/>
          <w:color w:val="3C3C3C"/>
          <w:sz w:val="17"/>
        </w:rPr>
        <w:t>Manohar B, Das R. Artificial neural networks for the prediction of Monkeypox outbreak. Trop Med Infect Dis. 2022;7(12):424. https://doi.org/10.3390/tropicalmed7120424.</w:t>
      </w:r>
    </w:p>
    <w:p>
      <w:pPr>
        <w:spacing w:before="40" w:after="60"/>
      </w:pPr>
      <w:r>
        <w:rPr>
          <w:rFonts w:ascii="Calibri" w:hAnsi="Calibri"/>
          <w:b/>
          <w:color w:val="1B4F72"/>
          <w:sz w:val="17"/>
        </w:rPr>
        <w:t xml:space="preserve">6. </w:t>
      </w:r>
      <w:r>
        <w:rPr>
          <w:rFonts w:ascii="Calibri" w:hAnsi="Calibri"/>
          <w:color w:val="3C3C3C"/>
          <w:sz w:val="17"/>
        </w:rPr>
        <w:t>Devarajan D, Dhanalakshmi P, Krishnaveni S, Senthilkumar S. Human Monkeypox disease prediction using novel modified restricted Boltzmann machine-based equilibrium optimizer. Sci Rep. 2024;14(1):17612. https://doi.org/10.1038/s41598-024-68836-3.</w:t>
      </w:r>
    </w:p>
    <w:p>
      <w:pPr>
        <w:spacing w:before="40" w:after="60"/>
      </w:pPr>
      <w:r>
        <w:rPr>
          <w:rFonts w:ascii="Calibri" w:hAnsi="Calibri"/>
          <w:b/>
          <w:color w:val="1B4F72"/>
          <w:sz w:val="17"/>
        </w:rPr>
        <w:t xml:space="preserve">7. </w:t>
      </w:r>
      <w:r>
        <w:rPr>
          <w:rFonts w:ascii="Calibri" w:hAnsi="Calibri"/>
          <w:color w:val="3C3C3C"/>
          <w:sz w:val="17"/>
        </w:rPr>
        <w:t>Markewitz NF, DeLuca J, Kalejaiye A, Shidid S, Jain T, Parikh P, Norton BL. Mpox-associated pneumonia: a case report. Ann Intern Med Clin Cases. 2023;2(3):e220945. https://doi.org/10.7326/aimcc.2022.0945.</w:t>
      </w:r>
    </w:p>
    <w:p>
      <w:pPr>
        <w:spacing w:before="40" w:after="60"/>
      </w:pPr>
      <w:r>
        <w:rPr>
          <w:rFonts w:ascii="Calibri" w:hAnsi="Calibri"/>
          <w:b/>
          <w:color w:val="1B4F72"/>
          <w:sz w:val="17"/>
        </w:rPr>
        <w:t xml:space="preserve">8. </w:t>
      </w:r>
      <w:r>
        <w:rPr>
          <w:rFonts w:ascii="Calibri" w:hAnsi="Calibri"/>
          <w:color w:val="3C3C3C"/>
          <w:sz w:val="17"/>
        </w:rPr>
        <w:t>World Health Organization. WHO Director-General declares mpox outbreak a public health emergency of international concern. Geneva: WHO; 2024. Available from: https://www.who.int/news/item/14-08-2024-who-director-general-declares-mpox-outbreak-a-public-health-emergency-of-international-concern.</w:t>
      </w:r>
    </w:p>
    <w:p>
      <w:pPr>
        <w:spacing w:before="40" w:after="60"/>
      </w:pPr>
      <w:r>
        <w:rPr>
          <w:rFonts w:ascii="Calibri" w:hAnsi="Calibri"/>
          <w:b/>
          <w:color w:val="1B4F72"/>
          <w:sz w:val="17"/>
        </w:rPr>
        <w:t xml:space="preserve">9. </w:t>
      </w:r>
      <w:r>
        <w:rPr>
          <w:rFonts w:ascii="Calibri" w:hAnsi="Calibri"/>
          <w:color w:val="3C3C3C"/>
          <w:sz w:val="17"/>
        </w:rPr>
        <w:t>Africa CDC. Africa CDC declares mpox a public health emergency of continental security. Addis Ababa: Africa CDC; 2024.</w:t>
      </w:r>
    </w:p>
    <w:p>
      <w:pPr>
        <w:spacing w:before="40" w:after="60"/>
      </w:pPr>
      <w:r>
        <w:rPr>
          <w:rFonts w:ascii="Calibri" w:hAnsi="Calibri"/>
          <w:b/>
          <w:color w:val="1B4F72"/>
          <w:sz w:val="17"/>
        </w:rPr>
        <w:t xml:space="preserve">10. </w:t>
      </w:r>
      <w:r>
        <w:rPr>
          <w:rFonts w:ascii="Calibri" w:hAnsi="Calibri"/>
          <w:color w:val="3C3C3C"/>
          <w:sz w:val="17"/>
        </w:rPr>
        <w:t>DermNet NZ. Molluscum contagiosum images and clinical atlas. 2024. Available from: https://dermnetnz.org.</w:t>
      </w:r>
    </w:p>
    <w:p>
      <w:pPr>
        <w:spacing w:before="40" w:after="60"/>
      </w:pPr>
      <w:r>
        <w:rPr>
          <w:rFonts w:ascii="Calibri" w:hAnsi="Calibri"/>
          <w:b/>
          <w:color w:val="1B4F72"/>
          <w:sz w:val="17"/>
        </w:rPr>
        <w:t xml:space="preserve">11. </w:t>
      </w:r>
      <w:r>
        <w:rPr>
          <w:rFonts w:ascii="Calibri" w:hAnsi="Calibri"/>
          <w:color w:val="3C3C3C"/>
          <w:sz w:val="17"/>
        </w:rPr>
        <w:t>Hussain A, Kaler J, Lau G, Maxwell T. Clinical conundrums: differentiating Monkeypox from similarly presenting infections. Cureus. 2022;14(10):e29929. https://doi.org/10.7759/cureus.29929.</w:t>
      </w:r>
    </w:p>
    <w:p>
      <w:pPr>
        <w:spacing w:before="40" w:after="60"/>
      </w:pPr>
      <w:r>
        <w:rPr>
          <w:rFonts w:ascii="Calibri" w:hAnsi="Calibri"/>
          <w:b/>
          <w:color w:val="1B4F72"/>
          <w:sz w:val="17"/>
        </w:rPr>
        <w:t xml:space="preserve">12. </w:t>
      </w:r>
      <w:r>
        <w:rPr>
          <w:rFonts w:ascii="Calibri" w:hAnsi="Calibri"/>
          <w:color w:val="3C3C3C"/>
          <w:sz w:val="17"/>
        </w:rPr>
        <w:t>Pattnaik H, Surani S, Goyal L, Kashyap R. Making sense of Monkeypox: a comparison of other poxviruses to the Monkeypox. Cureus. 2023;15(4):e38083. https://doi.org/10.7759/cureus.38083.</w:t>
      </w:r>
    </w:p>
    <w:p>
      <w:pPr>
        <w:spacing w:before="40" w:after="60"/>
      </w:pPr>
      <w:r>
        <w:rPr>
          <w:rFonts w:ascii="Calibri" w:hAnsi="Calibri"/>
          <w:b/>
          <w:color w:val="1B4F72"/>
          <w:sz w:val="17"/>
        </w:rPr>
        <w:t xml:space="preserve">13. </w:t>
      </w:r>
      <w:r>
        <w:rPr>
          <w:rFonts w:ascii="Calibri" w:hAnsi="Calibri"/>
          <w:color w:val="3C3C3C"/>
          <w:sz w:val="17"/>
        </w:rPr>
        <w:t>Lalmuanawma S, Hussain J, Chhakchhuak L. Applications of machine learning and artificial intelligence for Covid-19 (SARS-CoV-2) pandemic: a review. Chaos Solitons Fractals. 2020;139:110059. https://doi.org/10.1016/j.chaos.2020.110059.</w:t>
      </w:r>
    </w:p>
    <w:p>
      <w:pPr>
        <w:spacing w:before="40" w:after="60"/>
      </w:pPr>
      <w:r>
        <w:rPr>
          <w:rFonts w:ascii="Calibri" w:hAnsi="Calibri"/>
          <w:b/>
          <w:color w:val="1B4F72"/>
          <w:sz w:val="17"/>
        </w:rPr>
        <w:t xml:space="preserve">14. </w:t>
      </w:r>
      <w:r>
        <w:rPr>
          <w:rFonts w:ascii="Calibri" w:hAnsi="Calibri"/>
          <w:color w:val="3C3C3C"/>
          <w:sz w:val="17"/>
        </w:rPr>
        <w:t>Panch T, Mattie H, Atun R. Artificial intelligence and algorithmic bias: implications for health systems. J Glob Health. 2019;9(2):020318. https://doi.org/10.7189/jogh.09.020318.</w:t>
      </w:r>
    </w:p>
    <w:p>
      <w:pPr>
        <w:spacing w:before="40" w:after="60"/>
      </w:pPr>
      <w:r>
        <w:rPr>
          <w:rFonts w:ascii="Calibri" w:hAnsi="Calibri"/>
          <w:b/>
          <w:color w:val="1B4F72"/>
          <w:sz w:val="17"/>
        </w:rPr>
        <w:t xml:space="preserve">15. </w:t>
      </w:r>
      <w:r>
        <w:rPr>
          <w:rFonts w:ascii="Calibri" w:hAnsi="Calibri"/>
          <w:color w:val="3C3C3C"/>
          <w:sz w:val="17"/>
        </w:rPr>
        <w:t>Nilofer A, Sasikala S. A comparative study of machine learning algorithms using explainable artificial intelligence system for predicting liver disease. Comput Open. 2023;1:2350003. https://doi.org/10.1142/S2972370123500034.</w:t>
      </w:r>
    </w:p>
    <w:p>
      <w:pPr>
        <w:spacing w:before="40" w:after="60"/>
      </w:pPr>
      <w:r>
        <w:rPr>
          <w:rFonts w:ascii="Calibri" w:hAnsi="Calibri"/>
          <w:b/>
          <w:color w:val="1B4F72"/>
          <w:sz w:val="17"/>
        </w:rPr>
        <w:t xml:space="preserve">16. </w:t>
      </w:r>
      <w:r>
        <w:rPr>
          <w:rFonts w:ascii="Calibri" w:hAnsi="Calibri"/>
          <w:color w:val="3C3C3C"/>
          <w:sz w:val="17"/>
        </w:rPr>
        <w:t>Akpinar R, Panzeri D, De Carlo C, Belsito V, Durante B, Chirico G, Lombardi R, Fracanzani AL, Maggioni M, Arcari I, Roncalli M. Role of artificial intelligence in staging and assessing of treatment response in MASH patients. Front Med. 2024;11:1480866. https://doi.org/10.3389/fmed.2024.1480866.</w:t>
      </w:r>
    </w:p>
    <w:p>
      <w:pPr>
        <w:spacing w:before="40" w:after="60"/>
      </w:pPr>
      <w:r>
        <w:rPr>
          <w:rFonts w:ascii="Calibri" w:hAnsi="Calibri"/>
          <w:b/>
          <w:color w:val="1B4F72"/>
          <w:sz w:val="17"/>
        </w:rPr>
        <w:t xml:space="preserve">17. </w:t>
      </w:r>
      <w:r>
        <w:rPr>
          <w:rFonts w:ascii="Calibri" w:hAnsi="Calibri"/>
          <w:color w:val="3C3C3C"/>
          <w:sz w:val="17"/>
        </w:rPr>
        <w:t>Decharatanachart P, Chaiteerakij R, Tiyarattanachai T, Treeprasertsuk S. Application of artificial intelligence in chronic liver diseases: a systematic review and meta-analysis. BMC Gastroenterol. 2021;21:10. https://doi.org/10.1186/s12876-020-01585-5.</w:t>
      </w:r>
    </w:p>
    <w:p>
      <w:pPr>
        <w:spacing w:before="40" w:after="60"/>
      </w:pPr>
      <w:r>
        <w:rPr>
          <w:rFonts w:ascii="Calibri" w:hAnsi="Calibri"/>
          <w:b/>
          <w:color w:val="1B4F72"/>
          <w:sz w:val="17"/>
        </w:rPr>
        <w:t xml:space="preserve">18. </w:t>
      </w:r>
      <w:r>
        <w:rPr>
          <w:rFonts w:ascii="Calibri" w:hAnsi="Calibri"/>
          <w:color w:val="3C3C3C"/>
          <w:sz w:val="17"/>
        </w:rPr>
        <w:t>Alakus TB. Prediction of Monkeypox on the skin lesion with the Siamese deep learning model. Balkan J Electr Comput Eng. 2023;11(3):225-231. https://doi.org/10.17694/bajece.1255798.</w:t>
      </w:r>
    </w:p>
    <w:p>
      <w:pPr>
        <w:spacing w:before="40" w:after="60"/>
      </w:pPr>
      <w:r>
        <w:rPr>
          <w:rFonts w:ascii="Calibri" w:hAnsi="Calibri"/>
          <w:b/>
          <w:color w:val="1B4F72"/>
          <w:sz w:val="17"/>
        </w:rPr>
        <w:t xml:space="preserve">19. </w:t>
      </w:r>
      <w:r>
        <w:rPr>
          <w:rFonts w:ascii="Calibri" w:hAnsi="Calibri"/>
          <w:color w:val="3C3C3C"/>
          <w:sz w:val="17"/>
        </w:rPr>
        <w:t>Nayak T, Chadaga K, Sampathila N, Mayrose H, Bairy GM, Prabhu S, Katta SS, Umakanth S. Detection of Monkeypox from skin lesion images using deep learning networks and explainable artificial intelligence. Appl Math Sci Eng. 2023;31(1):2225698. https://doi.org/10.1080/27690911.2023.2225698.</w:t>
      </w:r>
    </w:p>
    <w:p>
      <w:pPr>
        <w:spacing w:before="40" w:after="60"/>
      </w:pPr>
      <w:r>
        <w:rPr>
          <w:rFonts w:ascii="Calibri" w:hAnsi="Calibri"/>
          <w:b/>
          <w:color w:val="1B4F72"/>
          <w:sz w:val="17"/>
        </w:rPr>
        <w:t xml:space="preserve">20. </w:t>
      </w:r>
      <w:r>
        <w:rPr>
          <w:rFonts w:ascii="Calibri" w:hAnsi="Calibri"/>
          <w:color w:val="3C3C3C"/>
          <w:sz w:val="17"/>
        </w:rPr>
        <w:t>Uysal F. Detection of Monkeypox disease from human skin images with a hybrid deep learning model. Diagnostics. 2023;13(10):1772. https://doi.org/10.3390/diagnostics13101772.</w:t>
      </w:r>
    </w:p>
    <w:p>
      <w:pPr>
        <w:spacing w:before="40" w:after="60"/>
      </w:pPr>
      <w:r>
        <w:rPr>
          <w:rFonts w:ascii="Calibri" w:hAnsi="Calibri"/>
          <w:b/>
          <w:color w:val="1B4F72"/>
          <w:sz w:val="17"/>
        </w:rPr>
        <w:t xml:space="preserve">21. </w:t>
      </w:r>
      <w:r>
        <w:rPr>
          <w:rFonts w:ascii="Calibri" w:hAnsi="Calibri"/>
          <w:color w:val="3C3C3C"/>
          <w:sz w:val="17"/>
        </w:rPr>
        <w:t>Akram A, Jamjoom AA, Innab N, Almujally NA, Umer M, Alsubai S, Fimiani G. SkinMarkNet: an automated approach for prediction of MonkeyPox using image data augmentation with deep ensemble learning models. Multimed Tools Appl. 2024;83:45120-45137. https://doi.org/10.1007/s11042-024-19862-w.</w:t>
      </w:r>
    </w:p>
    <w:p>
      <w:pPr>
        <w:spacing w:before="40" w:after="60"/>
      </w:pPr>
      <w:r>
        <w:rPr>
          <w:rFonts w:ascii="Calibri" w:hAnsi="Calibri"/>
          <w:b/>
          <w:color w:val="1B4F72"/>
          <w:sz w:val="17"/>
        </w:rPr>
        <w:t xml:space="preserve">22. </w:t>
      </w:r>
      <w:r>
        <w:rPr>
          <w:rFonts w:ascii="Calibri" w:hAnsi="Calibri"/>
          <w:color w:val="3C3C3C"/>
          <w:sz w:val="17"/>
        </w:rPr>
        <w:t>Farzipour A, Elmi R, Nasiri H. Detection of Monkeypox cases based on symptoms using XGBoost and Shapley additive explanations methods. Diagnostics. 2023;13(14):2391. https://doi.org/10.3390/diagnostics13142391.</w:t>
      </w:r>
    </w:p>
    <w:p>
      <w:pPr>
        <w:spacing w:before="40" w:after="60"/>
      </w:pPr>
      <w:r>
        <w:rPr>
          <w:rFonts w:ascii="Calibri" w:hAnsi="Calibri"/>
          <w:b/>
          <w:color w:val="1B4F72"/>
          <w:sz w:val="17"/>
        </w:rPr>
        <w:t xml:space="preserve">23. </w:t>
      </w:r>
      <w:r>
        <w:rPr>
          <w:rFonts w:ascii="Calibri" w:hAnsi="Calibri"/>
          <w:color w:val="3C3C3C"/>
          <w:sz w:val="17"/>
        </w:rPr>
        <w:t>Long B, Tan F, Newman M. Forecasting the Monkeypox outbreak using ARIMA, prophet, neuralprophet, and LSTM models in the United States. Forecasting. 2023;5(1):127-137. https://doi.org/10.3390/forecast5010005.</w:t>
      </w:r>
    </w:p>
    <w:p>
      <w:pPr>
        <w:spacing w:before="40" w:after="60"/>
      </w:pPr>
      <w:r>
        <w:rPr>
          <w:rFonts w:ascii="Calibri" w:hAnsi="Calibri"/>
          <w:b/>
          <w:color w:val="1B4F72"/>
          <w:sz w:val="17"/>
        </w:rPr>
        <w:t xml:space="preserve">24. </w:t>
      </w:r>
      <w:r>
        <w:rPr>
          <w:rFonts w:ascii="Calibri" w:hAnsi="Calibri"/>
          <w:color w:val="3C3C3C"/>
          <w:sz w:val="17"/>
        </w:rPr>
        <w:t>Dada EG, Oyewola DO, Joseph SB, Emebo O, Oluwagbemi OO. Ensemble machine learning for Monkeypox transmission time series forecasting. Appl Sci. 2022;12(23):12128. https://doi.org/10.3390/app122312128.</w:t>
      </w:r>
    </w:p>
    <w:p>
      <w:pPr>
        <w:spacing w:before="40" w:after="60"/>
      </w:pPr>
      <w:r>
        <w:rPr>
          <w:rFonts w:ascii="Calibri" w:hAnsi="Calibri"/>
          <w:b/>
          <w:color w:val="1B4F72"/>
          <w:sz w:val="17"/>
        </w:rPr>
        <w:t xml:space="preserve">25. </w:t>
      </w:r>
      <w:r>
        <w:rPr>
          <w:rFonts w:ascii="Calibri" w:hAnsi="Calibri"/>
          <w:color w:val="3C3C3C"/>
          <w:sz w:val="17"/>
        </w:rPr>
        <w:t>Thieme AH, Zheng Y, Machiraju G, Sadee C, Mittermaier M, Gertler M, Salinas JL, Srinivasan K, Gyawali P, Carrillo-Perez F, Capodici A. A deep-learning algorithm to classify skin lesions from Mpox virus infection. Nat Med. 2023;29(3):738-747. https://doi.org/10.1038/s41591-023-02225-7.</w:t>
      </w:r>
    </w:p>
    <w:p>
      <w:pPr>
        <w:spacing w:before="40" w:after="60"/>
      </w:pPr>
      <w:r>
        <w:rPr>
          <w:rFonts w:ascii="Calibri" w:hAnsi="Calibri"/>
          <w:b/>
          <w:color w:val="1B4F72"/>
          <w:sz w:val="17"/>
        </w:rPr>
        <w:t xml:space="preserve">26. </w:t>
      </w:r>
      <w:r>
        <w:rPr>
          <w:rFonts w:ascii="Calibri" w:hAnsi="Calibri"/>
          <w:color w:val="3C3C3C"/>
          <w:sz w:val="17"/>
        </w:rPr>
        <w:t>Uzun Ozsahin D, Mustapha MT, Uzun B, Duwa B, Ozsahin I. Computer-aided detection and classification of Monkeypox and chickenpox lesion in human subjects using deep learning framework. Diagnostics. 2023;13(2):292. https://doi.org/10.3390/diagnostics13020292.</w:t>
      </w:r>
    </w:p>
    <w:p>
      <w:pPr>
        <w:spacing w:before="40" w:after="60"/>
      </w:pPr>
      <w:r>
        <w:rPr>
          <w:rFonts w:ascii="Calibri" w:hAnsi="Calibri"/>
          <w:b/>
          <w:color w:val="1B4F72"/>
          <w:sz w:val="17"/>
        </w:rPr>
        <w:t xml:space="preserve">27. </w:t>
      </w:r>
      <w:r>
        <w:rPr>
          <w:rFonts w:ascii="Calibri" w:hAnsi="Calibri"/>
          <w:color w:val="3C3C3C"/>
          <w:sz w:val="17"/>
        </w:rPr>
        <w:t>Al-Gaashani MS, Xu W, Obsie EY. MobileNetV2-based deep learning architecture with progressive transfer learning for accurate Monkeypox detection. Appl Soft Comput. 2025;169:112553. https://doi.org/10.1016/j.asoc.2024.112553.</w:t>
      </w:r>
    </w:p>
    <w:p>
      <w:pPr>
        <w:spacing w:before="40" w:after="60"/>
      </w:pPr>
      <w:r>
        <w:rPr>
          <w:rFonts w:ascii="Calibri" w:hAnsi="Calibri"/>
          <w:b/>
          <w:color w:val="1B4F72"/>
          <w:sz w:val="17"/>
        </w:rPr>
        <w:t xml:space="preserve">28. </w:t>
      </w:r>
      <w:r>
        <w:rPr>
          <w:rFonts w:ascii="Calibri" w:hAnsi="Calibri"/>
          <w:color w:val="3C3C3C"/>
          <w:sz w:val="17"/>
        </w:rPr>
        <w:t>Eliwa EHI, El Koshiry AM, Abd El-Hafeez T, Farghaly HM. Utilizing convolutional neural networks to classify Monkeypox skin lesions. Sci Rep. 2023;13(1):14495. https://doi.org/10.1038/s41598-023-41545-z.</w:t>
      </w:r>
    </w:p>
    <w:p>
      <w:pPr>
        <w:spacing w:before="40" w:after="60"/>
      </w:pPr>
      <w:r>
        <w:rPr>
          <w:rFonts w:ascii="Calibri" w:hAnsi="Calibri"/>
          <w:b/>
          <w:color w:val="1B4F72"/>
          <w:sz w:val="17"/>
        </w:rPr>
        <w:t xml:space="preserve">29. </w:t>
      </w:r>
      <w:r>
        <w:rPr>
          <w:rFonts w:ascii="Calibri" w:hAnsi="Calibri"/>
          <w:color w:val="3C3C3C"/>
          <w:sz w:val="17"/>
        </w:rPr>
        <w:t>Sorayaie Azar A, Naemi A, Babaei Rikan S, Bagherzadeh Mohasefi J, Pirnejad H, Wiil UK. Monkeypox detection using deep neural networks. BMC Infect Dis. 2023;23(1):438. https://doi.org/10.1186/s12879-023-08408-4.</w:t>
      </w:r>
    </w:p>
    <w:p>
      <w:pPr>
        <w:spacing w:before="40" w:after="60"/>
      </w:pPr>
      <w:r>
        <w:rPr>
          <w:rFonts w:ascii="Calibri" w:hAnsi="Calibri"/>
          <w:b/>
          <w:color w:val="1B4F72"/>
          <w:sz w:val="17"/>
        </w:rPr>
        <w:t xml:space="preserve">30. </w:t>
      </w:r>
      <w:r>
        <w:rPr>
          <w:rFonts w:ascii="Calibri" w:hAnsi="Calibri"/>
          <w:color w:val="3C3C3C"/>
          <w:sz w:val="17"/>
        </w:rPr>
        <w:t>Nguyen G, Dlugolinsky S, Bobak M, Tran V, Lopez Garcia A, Heredia I, Malik P, Hluchy L. Machine learning and deep learning frameworks and libraries for large-scale data mining: a survey. Artif Intell Rev. 2019;52:77-124. https://doi.org/10.1007/s10462-018-09679-z.</w:t>
      </w:r>
    </w:p>
    <w:p>
      <w:pPr>
        <w:spacing w:before="40" w:after="60"/>
      </w:pPr>
      <w:r>
        <w:rPr>
          <w:rFonts w:ascii="Calibri" w:hAnsi="Calibri"/>
          <w:b/>
          <w:color w:val="1B4F72"/>
          <w:sz w:val="17"/>
        </w:rPr>
        <w:t xml:space="preserve">31. </w:t>
      </w:r>
      <w:r>
        <w:rPr>
          <w:rFonts w:ascii="Calibri" w:hAnsi="Calibri"/>
          <w:color w:val="3C3C3C"/>
          <w:sz w:val="17"/>
        </w:rPr>
        <w:t>Lu SC, Swisher CL, Chung C, Jaffray D, Sidey-Gibbons C. On the importance of interpretable machine learning predictions to inform clinical decision making in oncology. Front Oncol. 2023;13:1129380. https://doi.org/10.3389/fonc.2023.1129380.</w:t>
      </w:r>
    </w:p>
    <w:p>
      <w:pPr>
        <w:spacing w:before="40" w:after="60"/>
      </w:pPr>
      <w:r>
        <w:rPr>
          <w:rFonts w:ascii="Calibri" w:hAnsi="Calibri"/>
          <w:b/>
          <w:color w:val="1B4F72"/>
          <w:sz w:val="17"/>
        </w:rPr>
        <w:t xml:space="preserve">32. </w:t>
      </w:r>
      <w:r>
        <w:rPr>
          <w:rFonts w:ascii="Calibri" w:hAnsi="Calibri"/>
          <w:color w:val="3C3C3C"/>
          <w:sz w:val="17"/>
        </w:rPr>
        <w:t>Farzipour A. Detection of Monkeypox Cases Based on Symptoms. GitHub repository; 2025. Available from: https://github.com/alirezafarzipour/MonkeyPoxDetection.</w:t>
      </w:r>
    </w:p>
    <w:p>
      <w:pPr>
        <w:spacing w:before="40" w:after="60"/>
      </w:pPr>
      <w:r>
        <w:rPr>
          <w:rFonts w:ascii="Calibri" w:hAnsi="Calibri"/>
          <w:b/>
          <w:color w:val="1B4F72"/>
          <w:sz w:val="17"/>
        </w:rPr>
        <w:t xml:space="preserve">33. </w:t>
      </w:r>
      <w:r>
        <w:rPr>
          <w:rFonts w:ascii="Calibri" w:hAnsi="Calibri"/>
          <w:color w:val="3C3C3C"/>
          <w:sz w:val="17"/>
        </w:rPr>
        <w:t>Shiwangi K, Sandhu JK, Sahu R. Effective heart-disease prediction by using hybrid machine learning technique. In: 2023 International Conference on Circuit Power and Computing Technologies (ICCPCT). IEEE; 2023. p. 1670-1675. https://doi.org/10.1109/ICCPCT58313.2023.10245785.</w:t>
      </w:r>
    </w:p>
    <w:p>
      <w:pPr>
        <w:spacing w:before="40" w:after="60"/>
      </w:pPr>
      <w:r>
        <w:rPr>
          <w:rFonts w:ascii="Calibri" w:hAnsi="Calibri"/>
          <w:b/>
          <w:color w:val="1B4F72"/>
          <w:sz w:val="17"/>
        </w:rPr>
        <w:t xml:space="preserve">34. </w:t>
      </w:r>
      <w:r>
        <w:rPr>
          <w:rFonts w:ascii="Calibri" w:hAnsi="Calibri"/>
          <w:color w:val="3C3C3C"/>
          <w:sz w:val="17"/>
        </w:rPr>
        <w:t>Setegn GM, Dejene BE. Explainable AI for symptom-based detection of Monkeypox: a machine learning approach. BMC Infect Dis. 2025;25:419. https://doi.org/10.1186/s12879-025-10738-4.</w:t>
      </w:r>
    </w:p>
    <w:p>
      <w:pPr>
        <w:spacing w:before="40" w:after="60"/>
      </w:pPr>
      <w:r>
        <w:rPr>
          <w:rFonts w:ascii="Calibri" w:hAnsi="Calibri"/>
          <w:b/>
          <w:color w:val="1B4F72"/>
          <w:sz w:val="17"/>
        </w:rPr>
        <w:t xml:space="preserve">35. </w:t>
      </w:r>
      <w:r>
        <w:rPr>
          <w:rFonts w:ascii="Calibri" w:hAnsi="Calibri"/>
          <w:color w:val="3C3C3C"/>
          <w:sz w:val="17"/>
        </w:rPr>
        <w:t>Chadaga K, Prabhu S, Bhat V, Sampathila N, Umakanth S, Chadaga R, Kumar S, Swathi KS. An explainable multi-class decision support framework to predict COVID-19 prognosis utilizing biomarkers. Cogent Eng. 2023;10(2):2272361. https://doi.org/10.1080/23311916.2023.2272361.</w:t>
      </w:r>
    </w:p>
    <w:p>
      <w:pPr>
        <w:spacing w:before="40" w:after="60"/>
      </w:pPr>
      <w:r>
        <w:rPr>
          <w:rFonts w:ascii="Calibri" w:hAnsi="Calibri"/>
          <w:b/>
          <w:color w:val="1B4F72"/>
          <w:sz w:val="17"/>
        </w:rPr>
        <w:t xml:space="preserve">36. </w:t>
      </w:r>
      <w:r>
        <w:rPr>
          <w:rFonts w:ascii="Calibri" w:hAnsi="Calibri"/>
          <w:color w:val="3C3C3C"/>
          <w:sz w:val="17"/>
        </w:rPr>
        <w:t>Mooijman P, Catal C, Tekinerdogan B, Lommen A, Blokland M. The effects of data balancing approaches: a case study. Appl Soft Comput. 2023;132:109853. https://doi.org/10.1016/j.asoc.2022.109853.</w:t>
      </w:r>
    </w:p>
    <w:p>
      <w:pPr>
        <w:spacing w:before="40" w:after="60"/>
      </w:pPr>
      <w:r>
        <w:rPr>
          <w:rFonts w:ascii="Calibri" w:hAnsi="Calibri"/>
          <w:b/>
          <w:color w:val="1B4F72"/>
          <w:sz w:val="17"/>
        </w:rPr>
        <w:t xml:space="preserve">37. </w:t>
      </w:r>
      <w:r>
        <w:rPr>
          <w:rFonts w:ascii="Calibri" w:hAnsi="Calibri"/>
          <w:color w:val="3C3C3C"/>
          <w:sz w:val="17"/>
        </w:rPr>
        <w:t>Gonzales A, Guruswamy G, Smith SR. Synthetic data in health care: a narrative review. PLOS Digit Health. 2023;2(1):e0000082. https://doi.org/10.1371/journal.pdig.0000082.</w:t>
      </w:r>
    </w:p>
    <w:p>
      <w:pPr>
        <w:spacing w:before="40" w:after="60"/>
      </w:pPr>
      <w:r>
        <w:rPr>
          <w:rFonts w:ascii="Calibri" w:hAnsi="Calibri"/>
          <w:b/>
          <w:color w:val="1B4F72"/>
          <w:sz w:val="17"/>
        </w:rPr>
        <w:t xml:space="preserve">38. </w:t>
      </w:r>
      <w:r>
        <w:rPr>
          <w:rFonts w:ascii="Calibri" w:hAnsi="Calibri"/>
          <w:color w:val="3C3C3C"/>
          <w:sz w:val="17"/>
        </w:rPr>
        <w:t>Gnip P, Vokorokos L, Drotar P. Selective oversampling approach for strongly imbalanced data. PeerJ Comput Sci. 2021;7:e604. https://doi.org/10.7717/peerj-cs.604.</w:t>
      </w:r>
    </w:p>
    <w:p>
      <w:pPr>
        <w:spacing w:before="40" w:after="60"/>
      </w:pPr>
      <w:r>
        <w:rPr>
          <w:rFonts w:ascii="Calibri" w:hAnsi="Calibri"/>
          <w:b/>
          <w:color w:val="1B4F72"/>
          <w:sz w:val="17"/>
        </w:rPr>
        <w:t xml:space="preserve">39. </w:t>
      </w:r>
      <w:r>
        <w:rPr>
          <w:rFonts w:ascii="Calibri" w:hAnsi="Calibri"/>
          <w:color w:val="3C3C3C"/>
          <w:sz w:val="17"/>
        </w:rPr>
        <w:t>Blagus R, Lusa L. SMOTE for high-dimensional class-imbalanced data. BMC Bioinformatics. 2013;14:106. https://doi.org/10.1186/1471-2105-14-106.</w:t>
      </w:r>
    </w:p>
    <w:p>
      <w:pPr>
        <w:spacing w:before="40" w:after="60"/>
      </w:pPr>
      <w:r>
        <w:rPr>
          <w:rFonts w:ascii="Calibri" w:hAnsi="Calibri"/>
          <w:b/>
          <w:color w:val="1B4F72"/>
          <w:sz w:val="17"/>
        </w:rPr>
        <w:t xml:space="preserve">40. </w:t>
      </w:r>
      <w:r>
        <w:rPr>
          <w:rFonts w:ascii="Calibri" w:hAnsi="Calibri"/>
          <w:color w:val="3C3C3C"/>
          <w:sz w:val="17"/>
        </w:rPr>
        <w:t>Khan TM, Xu S, Khan ZG, Uzair Chishti M. Implementing multilabeling, ADASYN, and relieff techniques for classification of breast cancer diagnostic through machine learning: efficient computer-aided diagnostic system. J Healthc Eng. 2021;2021:5577636. https://doi.org/10.1155/2021/5577636.</w:t>
      </w:r>
    </w:p>
    <w:p>
      <w:pPr>
        <w:spacing w:before="40" w:after="60"/>
      </w:pPr>
      <w:r>
        <w:rPr>
          <w:rFonts w:ascii="Calibri" w:hAnsi="Calibri"/>
          <w:b/>
          <w:color w:val="1B4F72"/>
          <w:sz w:val="17"/>
        </w:rPr>
        <w:t xml:space="preserve">41. </w:t>
      </w:r>
      <w:r>
        <w:rPr>
          <w:rFonts w:ascii="Calibri" w:hAnsi="Calibri"/>
          <w:color w:val="3C3C3C"/>
          <w:sz w:val="17"/>
        </w:rPr>
        <w:t>Rafid ARH, Azam S, Montaha S, Karim A, Fahim KU, Hasan MZ. An effective ensemble machine learning approach to classify breast cancer based on feature selection and lesion segmentation using preprocessed mammograms. Biology. 2022;11(11):1654. https://doi.org/10.3390/biology11111654.</w:t>
      </w:r>
    </w:p>
    <w:p>
      <w:pPr>
        <w:spacing w:before="40" w:after="60"/>
      </w:pPr>
      <w:r>
        <w:rPr>
          <w:rFonts w:ascii="Calibri" w:hAnsi="Calibri"/>
          <w:b/>
          <w:color w:val="1B4F72"/>
          <w:sz w:val="17"/>
        </w:rPr>
        <w:t xml:space="preserve">42. </w:t>
      </w:r>
      <w:r>
        <w:rPr>
          <w:rFonts w:ascii="Calibri" w:hAnsi="Calibri"/>
          <w:color w:val="3C3C3C"/>
          <w:sz w:val="17"/>
        </w:rPr>
        <w:t>Mahajan P, Uddin S, Hajati F, Moni MA. Ensemble learning for disease prediction: a review. Healthcare. 2023;11(12):1808. https://doi.org/10.3390/healthcare11121808.</w:t>
      </w:r>
    </w:p>
    <w:p>
      <w:pPr>
        <w:spacing w:before="40" w:after="60"/>
      </w:pPr>
      <w:r>
        <w:rPr>
          <w:rFonts w:ascii="Calibri" w:hAnsi="Calibri"/>
          <w:b/>
          <w:color w:val="1B4F72"/>
          <w:sz w:val="17"/>
        </w:rPr>
        <w:t xml:space="preserve">43. </w:t>
      </w:r>
      <w:r>
        <w:rPr>
          <w:rFonts w:ascii="Calibri" w:hAnsi="Calibri"/>
          <w:color w:val="3C3C3C"/>
          <w:sz w:val="17"/>
        </w:rPr>
        <w:t>Ahmad A, Safi O, Malebary S, Alesawi S, Alkayal E. Decision tree ensembles to predict coronavirus disease 2019 infection: a comparative study. Complexity. 2021;2021:5550344. https://doi.org/10.1155/2021/5550344.</w:t>
      </w:r>
    </w:p>
    <w:p>
      <w:pPr>
        <w:spacing w:before="40" w:after="60"/>
      </w:pPr>
      <w:r>
        <w:rPr>
          <w:rFonts w:ascii="Calibri" w:hAnsi="Calibri"/>
          <w:b/>
          <w:color w:val="1B4F72"/>
          <w:sz w:val="17"/>
        </w:rPr>
        <w:t xml:space="preserve">44. </w:t>
      </w:r>
      <w:r>
        <w:rPr>
          <w:rFonts w:ascii="Calibri" w:hAnsi="Calibri"/>
          <w:color w:val="3C3C3C"/>
          <w:sz w:val="17"/>
        </w:rPr>
        <w:t>Anguita D, Ghio A, Greco N, Oneto L, Ridella S. Model selection for support vector machines: advantages and disadvantages of the machine learning theory. In: The 2010 International Joint Conference on Neural Networks (IJCNN). IEEE; 2010. p. 1-8. https://doi.org/10.1109/IJCNN.2010.5596450.</w:t>
      </w:r>
    </w:p>
    <w:p>
      <w:pPr>
        <w:spacing w:before="40" w:after="60"/>
      </w:pPr>
      <w:r>
        <w:rPr>
          <w:rFonts w:ascii="Calibri" w:hAnsi="Calibri"/>
          <w:b/>
          <w:color w:val="1B4F72"/>
          <w:sz w:val="17"/>
        </w:rPr>
        <w:t xml:space="preserve">45. </w:t>
      </w:r>
      <w:r>
        <w:rPr>
          <w:rFonts w:ascii="Calibri" w:hAnsi="Calibri"/>
          <w:color w:val="3C3C3C"/>
          <w:sz w:val="17"/>
        </w:rPr>
        <w:t>Cutler A, Cutler DR, Stevens JR. Random forests. In: Encyclopedia of machine learning. Springer; 2011. p. 824-828.</w:t>
      </w:r>
    </w:p>
    <w:p>
      <w:pPr>
        <w:spacing w:before="40" w:after="60"/>
      </w:pPr>
      <w:r>
        <w:rPr>
          <w:rFonts w:ascii="Calibri" w:hAnsi="Calibri"/>
          <w:b/>
          <w:color w:val="1B4F72"/>
          <w:sz w:val="17"/>
        </w:rPr>
        <w:t xml:space="preserve">46. </w:t>
      </w:r>
      <w:r>
        <w:rPr>
          <w:rFonts w:ascii="Calibri" w:hAnsi="Calibri"/>
          <w:color w:val="3C3C3C"/>
          <w:sz w:val="17"/>
        </w:rPr>
        <w:t>He K, Zhang X, Ren S, Sun J. Deep residual learning for image recognition. In: Proceedings of the IEEE Conference on Computer Vision and Pattern Recognition (CVPR). 2016. p. 770-778.</w:t>
      </w:r>
    </w:p>
    <w:p>
      <w:pPr>
        <w:spacing w:before="40" w:after="60"/>
      </w:pPr>
      <w:r>
        <w:rPr>
          <w:rFonts w:ascii="Calibri" w:hAnsi="Calibri"/>
          <w:b/>
          <w:color w:val="1B4F72"/>
          <w:sz w:val="17"/>
        </w:rPr>
        <w:t xml:space="preserve">47. </w:t>
      </w:r>
      <w:r>
        <w:rPr>
          <w:rFonts w:ascii="Calibri" w:hAnsi="Calibri"/>
          <w:color w:val="3C3C3C"/>
          <w:sz w:val="17"/>
        </w:rPr>
        <w:t>Huang G, Liu Z, Van Der Maaten L, Weinberger KQ. Densely connected convolutional networks. In: Proceedings of the IEEE Conference on Computer Vision and Pattern Recognition (CVPR). 2017. p. 4700-4708.</w:t>
      </w:r>
    </w:p>
    <w:p>
      <w:pPr>
        <w:spacing w:before="40" w:after="60"/>
      </w:pPr>
      <w:r>
        <w:rPr>
          <w:rFonts w:ascii="Calibri" w:hAnsi="Calibri"/>
          <w:b/>
          <w:color w:val="1B4F72"/>
          <w:sz w:val="17"/>
        </w:rPr>
        <w:t xml:space="preserve">48. </w:t>
      </w:r>
      <w:r>
        <w:rPr>
          <w:rFonts w:ascii="Calibri" w:hAnsi="Calibri"/>
          <w:color w:val="3C3C3C"/>
          <w:sz w:val="17"/>
        </w:rPr>
        <w:t>Tan M, Le Q. EfficientNet: rethinking model scaling for convolutional neural networks. In: International Conference on Machine Learning (ICML). PMLR; 2019. p. 6105-6114.</w:t>
      </w:r>
    </w:p>
    <w:p>
      <w:pPr>
        <w:spacing w:before="40" w:after="60"/>
      </w:pPr>
      <w:r>
        <w:rPr>
          <w:rFonts w:ascii="Calibri" w:hAnsi="Calibri"/>
          <w:b/>
          <w:color w:val="1B4F72"/>
          <w:sz w:val="17"/>
        </w:rPr>
        <w:t xml:space="preserve">49. </w:t>
      </w:r>
      <w:r>
        <w:rPr>
          <w:rFonts w:ascii="Calibri" w:hAnsi="Calibri"/>
          <w:color w:val="3C3C3C"/>
          <w:sz w:val="17"/>
        </w:rPr>
        <w:t>Howard A, Sandler M, Chu G, Chen LC, Chen B, Tan M, Wang W, Zhu Y, Pang R, Vasudevan V, Le QV. Searching for MobileNetV3. In: Proceedings of the IEEE/CVF International Conference on Computer Vision (ICCV). 2019. p. 1314-1324.</w:t>
      </w:r>
    </w:p>
    <w:p>
      <w:pPr>
        <w:spacing w:before="40" w:after="60"/>
      </w:pPr>
      <w:r>
        <w:rPr>
          <w:rFonts w:ascii="Calibri" w:hAnsi="Calibri"/>
          <w:b/>
          <w:color w:val="1B4F72"/>
          <w:sz w:val="17"/>
        </w:rPr>
        <w:t xml:space="preserve">50. </w:t>
      </w:r>
      <w:r>
        <w:rPr>
          <w:rFonts w:ascii="Calibri" w:hAnsi="Calibri"/>
          <w:color w:val="3C3C3C"/>
          <w:sz w:val="17"/>
        </w:rPr>
        <w:t>Selvaraju RR, Cogswell M, Das A, Vedaldi A, Parikh D, Batra D. Grad-CAM: visual explanations from deep networks via gradient-based localization. In: Proceedings of the IEEE International Conference on Computer Vision (ICCV). 2017. p. 618-626.</w:t>
      </w:r>
    </w:p>
    <w:p>
      <w:pPr>
        <w:spacing w:before="40" w:after="60"/>
      </w:pPr>
      <w:r>
        <w:rPr>
          <w:rFonts w:ascii="Calibri" w:hAnsi="Calibri"/>
          <w:b/>
          <w:color w:val="1B4F72"/>
          <w:sz w:val="17"/>
        </w:rPr>
        <w:t xml:space="preserve">51. </w:t>
      </w:r>
      <w:r>
        <w:rPr>
          <w:rFonts w:ascii="Calibri" w:hAnsi="Calibri"/>
          <w:color w:val="3C3C3C"/>
          <w:sz w:val="17"/>
        </w:rPr>
        <w:t>Lundberg SM, Lee SI. A unified approach to interpreting model predictions. In: Advances in Neural Information Processing Systems (NeurIPS). 2017. p. 4765-4774.</w:t>
      </w:r>
    </w:p>
    <w:p>
      <w:pPr>
        <w:spacing w:before="40" w:after="60"/>
      </w:pPr>
      <w:r>
        <w:rPr>
          <w:rFonts w:ascii="Calibri" w:hAnsi="Calibri"/>
          <w:b/>
          <w:color w:val="1B4F72"/>
          <w:sz w:val="17"/>
        </w:rPr>
        <w:t xml:space="preserve">52. </w:t>
      </w:r>
      <w:r>
        <w:rPr>
          <w:rFonts w:ascii="Calibri" w:hAnsi="Calibri"/>
          <w:color w:val="3C3C3C"/>
          <w:sz w:val="17"/>
        </w:rPr>
        <w:t>Ribeiro MT, Singh S, Guestrin C. "Why should I trust you?": explaining the predictions of any classifier. In: Proceedings of the 22nd ACM SIGKDD International Conference on Knowledge Discovery and Data Mining. 2016. p. 1135-1144.</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Research &amp; Educational Medical AI Framework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An Explainable Multimodal Deep Learning Framework for Monkeypox Detection | Research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