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A16DC" w14:textId="77777777" w:rsidR="006E4494" w:rsidRPr="005B50D2" w:rsidRDefault="006E4494" w:rsidP="006E4494">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Electrical Engineering</w:t>
      </w:r>
    </w:p>
    <w:p w14:paraId="5ABBAF8A" w14:textId="77777777" w:rsidR="006E4494" w:rsidRPr="005B50D2" w:rsidRDefault="006E4494" w:rsidP="006E4494">
      <w:pPr>
        <w:tabs>
          <w:tab w:val="left" w:pos="270"/>
          <w:tab w:val="left" w:pos="3780"/>
        </w:tabs>
        <w:jc w:val="both"/>
        <w:rPr>
          <w:rFonts w:ascii="BentonSans Comp Regular" w:hAnsi="BentonSans Comp Regular"/>
          <w:b/>
          <w:sz w:val="20"/>
        </w:rPr>
      </w:pPr>
    </w:p>
    <w:p w14:paraId="6D4A351F" w14:textId="77777777" w:rsidR="006E4494" w:rsidRPr="005B50D2" w:rsidRDefault="006E4494" w:rsidP="006E4494">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24"/>
        </w:rPr>
      </w:pPr>
      <w:r w:rsidRPr="005B50D2">
        <w:rPr>
          <w:rFonts w:ascii="BentonSans Comp Regular" w:hAnsi="BentonSans Comp Regular"/>
          <w:b/>
          <w:kern w:val="2"/>
          <w:sz w:val="32"/>
          <w:szCs w:val="24"/>
        </w:rPr>
        <w:t>Bachelor of Science in Electrical Engineering (B.S.E.E.)</w:t>
      </w:r>
    </w:p>
    <w:p w14:paraId="52E4C6FE" w14:textId="77777777" w:rsidR="006E4494" w:rsidRPr="005B50D2" w:rsidRDefault="006E4494" w:rsidP="006E449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Major in Electrical Engineering leading to the B.S.E.E. degree consists of a total of 120 credit hours.  </w:t>
      </w:r>
    </w:p>
    <w:p w14:paraId="2DB2EB4C" w14:textId="77777777" w:rsidR="006E4494" w:rsidRPr="005B50D2" w:rsidRDefault="006E4494" w:rsidP="006E449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3F9811A" w14:textId="77777777" w:rsidR="006E4494" w:rsidRPr="005B50D2" w:rsidRDefault="006E4494" w:rsidP="006E4494">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The Bachelor of Science in Electrical Engineering (B.S.E.E.) degree covers fundamental concepts that lead to an understanding of electrical and electronic systems and their applications. </w:t>
      </w:r>
    </w:p>
    <w:p w14:paraId="55DA88A7" w14:textId="77777777" w:rsidR="006E4494" w:rsidRPr="005B50D2" w:rsidRDefault="006E4494" w:rsidP="006E4494">
      <w:pPr>
        <w:pStyle w:val="BodyTextIndent3"/>
        <w:spacing w:after="0"/>
        <w:ind w:left="0"/>
        <w:jc w:val="both"/>
        <w:rPr>
          <w:rFonts w:ascii="BentonSans Comp Regular" w:hAnsi="BentonSans Comp Regular"/>
          <w:sz w:val="20"/>
          <w:szCs w:val="20"/>
        </w:rPr>
      </w:pPr>
    </w:p>
    <w:p w14:paraId="3BB95013" w14:textId="77777777" w:rsidR="006E4494" w:rsidRPr="005B50D2" w:rsidRDefault="006E4494" w:rsidP="006E4494">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Emphasis is placed on the utilization of computers throughout the curriculum.  Graduates have a wide range of job </w:t>
      </w:r>
      <w:proofErr w:type="gramStart"/>
      <w:r w:rsidRPr="005B50D2">
        <w:rPr>
          <w:rFonts w:ascii="BentonSans Comp Regular" w:hAnsi="BentonSans Comp Regular"/>
          <w:sz w:val="20"/>
          <w:szCs w:val="20"/>
        </w:rPr>
        <w:t>opportunities</w:t>
      </w:r>
      <w:proofErr w:type="gramEnd"/>
      <w:r w:rsidRPr="005B50D2">
        <w:rPr>
          <w:rFonts w:ascii="BentonSans Comp Regular" w:hAnsi="BentonSans Comp Regular"/>
          <w:sz w:val="20"/>
          <w:szCs w:val="20"/>
        </w:rPr>
        <w:t xml:space="preserve"> as power engineers, communication engineers, test engineers, network engineers, control engineers, project engineers, robotic system engineers, optoelectronic engineers, application engineers, analog engineers, medical product engineers, and process engineers</w:t>
      </w:r>
    </w:p>
    <w:p w14:paraId="4F41C7D6" w14:textId="77777777" w:rsidR="006E4494" w:rsidRPr="005B50D2" w:rsidRDefault="006E4494" w:rsidP="006E4494">
      <w:pPr>
        <w:pStyle w:val="BodyTextIndent3"/>
        <w:spacing w:after="0"/>
        <w:ind w:left="0"/>
        <w:jc w:val="both"/>
        <w:rPr>
          <w:rFonts w:ascii="BentonSans Comp Regular" w:hAnsi="BentonSans Comp Regular"/>
          <w:sz w:val="20"/>
          <w:szCs w:val="20"/>
        </w:rPr>
      </w:pPr>
    </w:p>
    <w:p w14:paraId="299C3BE7"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69B2DA9E"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0D79C71A"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13D7F2E9"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E8E8C8A"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1DB2774E"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297B7C3"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7171982B"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2DE78BC7"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6EA2956" w14:textId="77777777" w:rsidR="006E4494" w:rsidRPr="005B50D2" w:rsidRDefault="006E4494" w:rsidP="006E4494">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0408C22" w14:textId="77777777" w:rsidR="006E4494" w:rsidRPr="005B50D2" w:rsidRDefault="006E4494" w:rsidP="006E4494">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w:t>
      </w:r>
      <w:proofErr w:type="gramStart"/>
      <w:r w:rsidRPr="005B50D2">
        <w:rPr>
          <w:rFonts w:ascii="BentonSans Comp Regular" w:hAnsi="BentonSans Comp Regular"/>
          <w:bCs/>
          <w:sz w:val="20"/>
        </w:rPr>
        <w:t>:  2.50</w:t>
      </w:r>
      <w:proofErr w:type="gramEnd"/>
      <w:r w:rsidRPr="005B50D2">
        <w:rPr>
          <w:rFonts w:ascii="BentonSans Comp Regular" w:hAnsi="BentonSans Comp Regular"/>
          <w:bCs/>
          <w:sz w:val="20"/>
        </w:rPr>
        <w:t xml:space="preserve"> (2.80 for Mechanical Engineering)</w:t>
      </w:r>
    </w:p>
    <w:p w14:paraId="474C9731" w14:textId="77777777" w:rsidR="006E4494" w:rsidRPr="005B50D2" w:rsidRDefault="006E4494" w:rsidP="006E4494">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60511E66" w14:textId="77777777" w:rsidR="006E4494" w:rsidRPr="005B50D2" w:rsidRDefault="006E4494" w:rsidP="006E4494">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230810FD" w14:textId="77777777" w:rsidR="006E4494" w:rsidRPr="005B50D2" w:rsidRDefault="006E4494" w:rsidP="006E4494">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07807CE6" w14:textId="77777777" w:rsidR="006E4494" w:rsidRPr="005B50D2" w:rsidRDefault="006E4494" w:rsidP="006E4494">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74445DD"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13925F9"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w:t>
      </w:r>
      <w:proofErr w:type="gramStart"/>
      <w:r w:rsidRPr="005B50D2">
        <w:rPr>
          <w:rFonts w:ascii="BentonSans Comp Regular" w:hAnsi="BentonSans Comp Regular"/>
          <w:bCs/>
          <w:sz w:val="20"/>
        </w:rPr>
        <w:t>not  meet</w:t>
      </w:r>
      <w:proofErr w:type="gramEnd"/>
      <w:r w:rsidRPr="005B50D2">
        <w:rPr>
          <w:rFonts w:ascii="BentonSans Comp Regular" w:hAnsi="BentonSans Comp Regular"/>
          <w:bCs/>
          <w:sz w:val="20"/>
        </w:rPr>
        <w:t xml:space="preserve"> the GPA requirement may be admitted upon the recommendation of the chair of the major department.</w:t>
      </w:r>
    </w:p>
    <w:p w14:paraId="48729082"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E1E96E7"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2690074B"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7E7486F5"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576A667B"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7EA51BB"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634E2CA0"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4912F115"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76B78F3D"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FF047A"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245BBD20"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6E733164"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proofErr w:type="gramStart"/>
      <w:r w:rsidRPr="005B50D2">
        <w:rPr>
          <w:rFonts w:ascii="BentonSans Comp Regular" w:hAnsi="BentonSans Comp Regular"/>
          <w:sz w:val="20"/>
        </w:rPr>
        <w:lastRenderedPageBreak/>
        <w:t>Should</w:t>
      </w:r>
      <w:proofErr w:type="gramEnd"/>
      <w:r w:rsidRPr="005B50D2">
        <w:rPr>
          <w:rFonts w:ascii="BentonSans Comp Regular" w:hAnsi="BentonSans Comp Regular"/>
          <w:sz w:val="20"/>
        </w:rPr>
        <w:t xml:space="preserve"> focus on successfully completing courses that count towards the program of interest and not rely on grades in unrelated courses to elevate the GPA.</w:t>
      </w:r>
    </w:p>
    <w:p w14:paraId="543AAF14"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6A5B85E1"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542BECFE"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1202 via a UCOL advisor </w:t>
      </w:r>
    </w:p>
    <w:p w14:paraId="342FA776"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 xml:space="preserve">or via </w:t>
      </w:r>
      <w:proofErr w:type="gramStart"/>
      <w:r w:rsidRPr="005B50D2">
        <w:rPr>
          <w:rFonts w:ascii="BentonSans Comp Regular" w:hAnsi="BentonSans Comp Regular"/>
          <w:sz w:val="20"/>
        </w:rPr>
        <w:t>a request</w:t>
      </w:r>
      <w:proofErr w:type="gramEnd"/>
      <w:r w:rsidRPr="005B50D2">
        <w:rPr>
          <w:rFonts w:ascii="BentonSans Comp Regular" w:hAnsi="BentonSans Comp Regular"/>
          <w:sz w:val="20"/>
        </w:rPr>
        <w:t xml:space="preserve"> to an advisor in the program of interest, if not in UCOL.</w:t>
      </w:r>
    </w:p>
    <w:p w14:paraId="233835E2"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E77D4AD"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1626C5D2"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87FBC03"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75CBE2C"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0BF853DC"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50B5E966"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6DC7DD05" w14:textId="77777777" w:rsidR="006E4494" w:rsidRPr="005B50D2" w:rsidRDefault="006E4494" w:rsidP="006E4494">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27770965"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CB035D8"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2F0E6441"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declare a major. Please visit the ETCM department at http://et.charlotte.edu/prospective-students/change-majors for more information on the change of major process. Upon satisfying </w:t>
      </w:r>
      <w:proofErr w:type="gramStart"/>
      <w:r w:rsidRPr="005B50D2">
        <w:rPr>
          <w:rFonts w:ascii="BentonSans Comp Regular" w:hAnsi="BentonSans Comp Regular"/>
          <w:sz w:val="20"/>
        </w:rPr>
        <w:t>all of</w:t>
      </w:r>
      <w:proofErr w:type="gramEnd"/>
      <w:r w:rsidRPr="005B50D2">
        <w:rPr>
          <w:rFonts w:ascii="BentonSans Comp Regular" w:hAnsi="BentonSans Comp Regular"/>
          <w:sz w:val="20"/>
        </w:rPr>
        <w:t xml:space="preserve"> the major-specific requirements, students may request admission to an ETCM program by scheduling an appointment with a departmental advisor of the given program.</w:t>
      </w:r>
    </w:p>
    <w:p w14:paraId="5628E1B6"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967E39F"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2194492B" w14:textId="77777777" w:rsidR="006E4494" w:rsidRPr="005B50D2" w:rsidRDefault="006E4494" w:rsidP="006E449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(31-32 credit hours)</w:t>
      </w:r>
    </w:p>
    <w:p w14:paraId="50C7BA95" w14:textId="77777777" w:rsidR="006E4494" w:rsidRPr="005B50D2" w:rsidRDefault="006E4494" w:rsidP="006E4494">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departmental approval. Please see your advisor for information.</w:t>
      </w:r>
      <w:r w:rsidRPr="005B50D2">
        <w:rPr>
          <w:rFonts w:ascii="BentonSans Comp Regular" w:hAnsi="BentonSans Comp Regular"/>
          <w:kern w:val="2"/>
          <w:sz w:val="20"/>
        </w:rPr>
        <w:t xml:space="preserve">  </w:t>
      </w:r>
    </w:p>
    <w:p w14:paraId="194DB64E" w14:textId="77777777" w:rsidR="006E4494" w:rsidRPr="005B50D2" w:rsidRDefault="006E4494" w:rsidP="006E4494">
      <w:pPr>
        <w:tabs>
          <w:tab w:val="right" w:leader="dot" w:pos="4680"/>
          <w:tab w:val="left" w:pos="5140"/>
          <w:tab w:val="right" w:leader="dot" w:pos="9302"/>
        </w:tabs>
        <w:jc w:val="both"/>
        <w:rPr>
          <w:rFonts w:ascii="BentonSans Comp Regular" w:hAnsi="BentonSans Comp Regular"/>
          <w:kern w:val="2"/>
          <w:sz w:val="20"/>
        </w:rPr>
      </w:pPr>
    </w:p>
    <w:p w14:paraId="55578F73" w14:textId="77777777" w:rsidR="006E4494" w:rsidRPr="005B50D2" w:rsidRDefault="006E4494" w:rsidP="006E4494">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(14 credit hours)</w:t>
      </w:r>
    </w:p>
    <w:p w14:paraId="1B2702B3"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1201 - Introduction to Engineering Practices and Principles I (2)</w:t>
      </w:r>
    </w:p>
    <w:p w14:paraId="429F514A"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1202 - Introduction to Engineering Practices and Principles II (2)</w:t>
      </w:r>
    </w:p>
    <w:p w14:paraId="74FE4990"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5A5916AB"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26C7739E"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4CAB318A"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(1)</w:t>
      </w:r>
    </w:p>
    <w:p w14:paraId="5E985D5D" w14:textId="77777777" w:rsidR="006E4494" w:rsidRPr="005B50D2" w:rsidRDefault="006E4494" w:rsidP="006E449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164297A6"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(51 credit hours)</w:t>
      </w:r>
    </w:p>
    <w:p w14:paraId="13C06D23"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2103 - Computer Utilization in C++ (3)</w:t>
      </w:r>
    </w:p>
    <w:p w14:paraId="5827832C"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7EE0164F"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75C4C10B"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w:t>
      </w:r>
      <w:proofErr w:type="gramStart"/>
      <w:r w:rsidRPr="005B50D2">
        <w:rPr>
          <w:rFonts w:ascii="BentonSans Comp Regular" w:hAnsi="BentonSans Comp Regular"/>
          <w:kern w:val="2"/>
          <w:sz w:val="20"/>
        </w:rPr>
        <w:t>1)*</w:t>
      </w:r>
      <w:proofErr w:type="gramEnd"/>
    </w:p>
    <w:p w14:paraId="182EB604"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w:t>
      </w:r>
      <w:proofErr w:type="gramStart"/>
      <w:r w:rsidRPr="005B50D2">
        <w:rPr>
          <w:rFonts w:ascii="BentonSans Comp Regular" w:hAnsi="BentonSans Comp Regular"/>
          <w:kern w:val="2"/>
          <w:sz w:val="20"/>
        </w:rPr>
        <w:t>1)*</w:t>
      </w:r>
      <w:proofErr w:type="gramEnd"/>
    </w:p>
    <w:p w14:paraId="53096409"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2181 - Logic Systems Design (3)</w:t>
      </w:r>
    </w:p>
    <w:p w14:paraId="2A4F8A08"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2254 - Analytical Foundations of Electrical and Computer Engineering (3)</w:t>
      </w:r>
    </w:p>
    <w:p w14:paraId="486F29CD"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3111 - Signals and Systems (3)</w:t>
      </w:r>
    </w:p>
    <w:p w14:paraId="6BA36F97"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ECGR 3112 - System Analysis II (3)</w:t>
      </w:r>
    </w:p>
    <w:p w14:paraId="77FCF70D"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3121 - Introduction to Electromagnetic Fields (3)</w:t>
      </w:r>
    </w:p>
    <w:p w14:paraId="3E9EB006"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3122 - Electromagnetic Waves (3)</w:t>
      </w:r>
    </w:p>
    <w:p w14:paraId="68D3AB39"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1B5C89C5"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3132 - Electronics (3)</w:t>
      </w:r>
    </w:p>
    <w:p w14:paraId="481DF8CC"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3142 - Electrical Energy Conversion (3)</w:t>
      </w:r>
    </w:p>
    <w:p w14:paraId="40DE86B9"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3155 - Systems and Electronics Laboratory (1) *</w:t>
      </w:r>
    </w:p>
    <w:p w14:paraId="33E32E2A"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3156 - Electromagnetic and Electronic Devices Laboratory (1) *</w:t>
      </w:r>
    </w:p>
    <w:p w14:paraId="2D6EDB9F"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3157 - ECE Junior Design (3) </w:t>
      </w:r>
    </w:p>
    <w:p w14:paraId="10EC3EDA"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3159 - Professional Practice (1)</w:t>
      </w:r>
    </w:p>
    <w:p w14:paraId="5233EDBD"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4123 - Analog and Digital Communication (3)</w:t>
      </w:r>
      <w:r w:rsidRPr="005B50D2">
        <w:rPr>
          <w:rFonts w:ascii="BentonSans Comp Regular" w:hAnsi="BentonSans Comp Regular"/>
          <w:kern w:val="2"/>
          <w:sz w:val="20"/>
        </w:rPr>
        <w:br/>
        <w:t>or ECGR 4124 - Digital Signal Processing (3)</w:t>
      </w:r>
    </w:p>
    <w:p w14:paraId="2D343C82"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4241 - Electrical Engineering Senior Design I (2)</w:t>
      </w:r>
    </w:p>
    <w:p w14:paraId="480220B1"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4242 - Electrical Engineering Senior Design II (2)</w:t>
      </w:r>
    </w:p>
    <w:p w14:paraId="14ACFB7F" w14:textId="77777777" w:rsidR="006E4494" w:rsidRPr="005B50D2" w:rsidRDefault="006E4494" w:rsidP="006E4494">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4B38FEC5" w14:textId="77777777" w:rsidR="006E4494" w:rsidRPr="005B50D2" w:rsidRDefault="006E4494" w:rsidP="006E449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*The laboratory courses are designed to</w:t>
      </w:r>
      <w:proofErr w:type="gramStart"/>
      <w:r w:rsidRPr="005B50D2">
        <w:rPr>
          <w:rFonts w:ascii="BentonSans Comp Regular" w:hAnsi="BentonSans Comp Regular"/>
          <w:i/>
          <w:kern w:val="2"/>
          <w:sz w:val="20"/>
        </w:rPr>
        <w:t>:  (</w:t>
      </w:r>
      <w:proofErr w:type="gramEnd"/>
      <w:r w:rsidRPr="005B50D2">
        <w:rPr>
          <w:rFonts w:ascii="BentonSans Comp Regular" w:hAnsi="BentonSans Comp Regular"/>
          <w:i/>
          <w:kern w:val="2"/>
          <w:sz w:val="20"/>
        </w:rPr>
        <w:t>1) teach the basic techniques of instrumentation; (2) develop skills in communications; and (3) relate the analytical methods developed in the classroom to the performance of real physical systems.</w:t>
      </w:r>
    </w:p>
    <w:p w14:paraId="649297EB"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kern w:val="2"/>
          <w:sz w:val="20"/>
        </w:rPr>
      </w:pPr>
    </w:p>
    <w:p w14:paraId="66DAEFBB"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Related Courses (19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782BBF35"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41535222"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3482C230"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17606B21"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2241 - Calculus III (3)</w:t>
      </w:r>
    </w:p>
    <w:p w14:paraId="68FA9399"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2102 - Physics for Science and Engineering II (3)</w:t>
      </w:r>
    </w:p>
    <w:p w14:paraId="6FFD40C7"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3141 - Introduction to Modern Physics (3)</w:t>
      </w:r>
    </w:p>
    <w:p w14:paraId="61AAF738"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STAT 3128 - Probability and Statistics for Engineers (3)</w:t>
      </w:r>
    </w:p>
    <w:p w14:paraId="76DB12F5" w14:textId="77777777" w:rsidR="006E4494" w:rsidRPr="005B50D2" w:rsidRDefault="006E4494" w:rsidP="006E4494">
      <w:pPr>
        <w:tabs>
          <w:tab w:val="right" w:leader="dot" w:pos="4680"/>
          <w:tab w:val="left" w:pos="5140"/>
          <w:tab w:val="right" w:leader="dot" w:pos="9302"/>
        </w:tabs>
        <w:ind w:left="288" w:hanging="288"/>
        <w:rPr>
          <w:rFonts w:ascii="BentonSans Comp Regular" w:hAnsi="BentonSans Comp Regular"/>
          <w:kern w:val="2"/>
          <w:sz w:val="20"/>
        </w:rPr>
      </w:pPr>
    </w:p>
    <w:p w14:paraId="4D732542" w14:textId="77777777" w:rsidR="006E4494" w:rsidRPr="005B50D2" w:rsidRDefault="006E4494" w:rsidP="006E4494">
      <w:pPr>
        <w:keepNext/>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Restricted Elective Courses (18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55693050"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Technical Elective Courses (12 credit hours)</w:t>
      </w:r>
    </w:p>
    <w:p w14:paraId="3F6F5703"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Select four ECGR 4000-level courses that are not required as part of the curriculum. </w:t>
      </w:r>
    </w:p>
    <w:p w14:paraId="2D69E1C9"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5207B1BD"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Elective Courses (6 credit hours)</w:t>
      </w:r>
    </w:p>
    <w:p w14:paraId="0C3A71B6"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Select two courses from the following that are not already part of the curriculum:</w:t>
      </w:r>
    </w:p>
    <w:p w14:paraId="3929029F"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75566DBE"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3000-level courses</w:t>
      </w:r>
    </w:p>
    <w:p w14:paraId="0FBD0604"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619C81D2"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4C2D423C"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7F52D5AE"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27DC64E8"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4D17D2F3"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260496BC"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191777B3"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3000-level courses</w:t>
      </w:r>
    </w:p>
    <w:p w14:paraId="3457D9DB"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294D7982"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1C3B26A1"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24459D05"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1DA59AF1" w14:textId="77777777" w:rsidR="006E4494" w:rsidRPr="005B50D2" w:rsidRDefault="006E4494" w:rsidP="006E4494">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7535C605" w14:textId="77777777" w:rsidR="006E4494" w:rsidRPr="005B50D2" w:rsidRDefault="006E4494" w:rsidP="006E4494">
      <w:pPr>
        <w:jc w:val="both"/>
        <w:rPr>
          <w:rFonts w:ascii="BentonSans Comp Regular" w:hAnsi="BentonSans Comp Regular"/>
          <w:kern w:val="2"/>
          <w:sz w:val="20"/>
        </w:rPr>
      </w:pPr>
    </w:p>
    <w:p w14:paraId="2AFAB00B" w14:textId="77777777" w:rsidR="006E4494" w:rsidRPr="005B50D2" w:rsidRDefault="006E4494" w:rsidP="006E4494">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6E406425" w14:textId="77777777" w:rsidR="006E4494" w:rsidRPr="005B50D2" w:rsidRDefault="006E4494" w:rsidP="006E4494">
      <w:pPr>
        <w:jc w:val="both"/>
        <w:rPr>
          <w:rFonts w:ascii="BentonSans Comp Regular" w:hAnsi="BentonSans Comp Regular"/>
          <w:color w:val="000000" w:themeColor="text1"/>
          <w:sz w:val="20"/>
        </w:rPr>
      </w:pPr>
      <w:r w:rsidRPr="005B50D2">
        <w:rPr>
          <w:rFonts w:ascii="BentonSans Comp Regular" w:hAnsi="BentonSans Comp Regular"/>
          <w:color w:val="000000" w:themeColor="text1"/>
          <w:sz w:val="20"/>
        </w:rPr>
        <w:t>As needed to complete the credit hours required for graduation.</w:t>
      </w:r>
    </w:p>
    <w:p w14:paraId="374ECA97" w14:textId="77777777" w:rsidR="006E4494" w:rsidRPr="005B50D2" w:rsidRDefault="006E4494" w:rsidP="006E4494">
      <w:pPr>
        <w:jc w:val="both"/>
        <w:rPr>
          <w:rFonts w:ascii="BentonSans Comp Regular" w:hAnsi="BentonSans Comp Regular"/>
          <w:kern w:val="2"/>
          <w:sz w:val="20"/>
        </w:rPr>
      </w:pPr>
    </w:p>
    <w:p w14:paraId="64BED31A" w14:textId="77777777" w:rsidR="006E4494" w:rsidRPr="005B50D2" w:rsidRDefault="006E4494" w:rsidP="006E4494">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lastRenderedPageBreak/>
        <w:t>Degree Total = 120 Credit Hours</w:t>
      </w:r>
    </w:p>
    <w:p w14:paraId="07B57AE5" w14:textId="77777777" w:rsidR="006E4494" w:rsidRPr="005B50D2" w:rsidRDefault="006E4494" w:rsidP="006E449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rPr>
      </w:pPr>
    </w:p>
    <w:p w14:paraId="58384CA0"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02E08120"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79C66AC9"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one semester at another institution are initially advised by a central office within the College of Engineering. Students must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progress in the curriculum and matriculate to their major department.</w:t>
      </w:r>
    </w:p>
    <w:p w14:paraId="4BFB89C5"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BE138F0" w14:textId="77777777" w:rsidR="006E4494" w:rsidRPr="005B50D2" w:rsidRDefault="006E4494" w:rsidP="006E4494">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5A521804" w14:textId="77777777" w:rsidR="006E4494" w:rsidRPr="005B50D2" w:rsidRDefault="006E4494" w:rsidP="006E4494">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1A704093" w14:textId="77777777" w:rsidR="006E4494" w:rsidRPr="005B50D2" w:rsidRDefault="006E4494" w:rsidP="006E4494">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5F6A0930" w14:textId="77777777" w:rsidR="006E4494" w:rsidRPr="005B50D2" w:rsidRDefault="006E4494" w:rsidP="006E4494">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Core courses </w:t>
      </w:r>
      <w:proofErr w:type="gramStart"/>
      <w:r w:rsidRPr="005B50D2">
        <w:rPr>
          <w:rFonts w:ascii="BentonSans Comp Regular" w:hAnsi="BentonSans Comp Regular"/>
          <w:sz w:val="20"/>
        </w:rPr>
        <w:t>include:</w:t>
      </w:r>
      <w:proofErr w:type="gramEnd"/>
      <w:r w:rsidRPr="005B50D2">
        <w:rPr>
          <w:rFonts w:ascii="BentonSans Comp Regular" w:hAnsi="BentonSans Comp Regular"/>
          <w:sz w:val="20"/>
        </w:rPr>
        <w:t xml:space="preserve"> MATH 1241 and 1242, PHYS 2101; CHEM 1251 or MEGR 1100 (MEGR majors); MATH 2164 and ECGR 2103 (CPGR/EEGR Majors); MATH 2164 (SEGR Majors).</w:t>
      </w:r>
    </w:p>
    <w:p w14:paraId="01EF62B7" w14:textId="77777777" w:rsidR="006E4494" w:rsidRPr="005B50D2" w:rsidRDefault="006E4494" w:rsidP="006E4494">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57AAA5A6" w14:textId="77777777" w:rsidR="006E4494" w:rsidRPr="005B50D2" w:rsidRDefault="006E4494" w:rsidP="006E4494">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48A1C0BA" w14:textId="77777777" w:rsidR="006E4494" w:rsidRPr="005B50D2" w:rsidRDefault="006E4494" w:rsidP="006E4494">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006B6DE0"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462D6BC" w14:textId="77777777" w:rsidR="006E4494" w:rsidRPr="005B50D2" w:rsidRDefault="006E4494" w:rsidP="006E4494">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4ED4B227" w14:textId="77777777" w:rsidR="006E4494" w:rsidRPr="005B50D2" w:rsidRDefault="006E4494" w:rsidP="006E4494">
      <w:pPr>
        <w:pStyle w:val="ListParagraph"/>
        <w:keepNext/>
        <w:keepLines/>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50C36EED" w14:textId="77777777" w:rsidR="006E4494" w:rsidRPr="005B50D2" w:rsidRDefault="006E4494" w:rsidP="006E4494">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48359B4" w14:textId="77777777" w:rsidR="006E4494" w:rsidRPr="005B50D2" w:rsidRDefault="006E4494" w:rsidP="006E4494">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6E1545E6"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41277DF8"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3185ED9"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78FB76CE" w14:textId="77777777" w:rsidR="006E4494" w:rsidRPr="005B50D2" w:rsidRDefault="006E4494" w:rsidP="006E449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209C414" w14:textId="77777777" w:rsidR="006E4494" w:rsidRPr="005B50D2" w:rsidRDefault="006E4494" w:rsidP="006E449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0845C035"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92"/>
    <w:rsid w:val="004F28D8"/>
    <w:rsid w:val="006E4494"/>
    <w:rsid w:val="0092182C"/>
    <w:rsid w:val="00C040A9"/>
    <w:rsid w:val="00CC3A50"/>
    <w:rsid w:val="00EA3E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6D6BDF-ABD6-4831-9518-6ABD73D3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494"/>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EA3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E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E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E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E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E92"/>
    <w:rPr>
      <w:rFonts w:eastAsiaTheme="majorEastAsia" w:cstheme="majorBidi"/>
      <w:color w:val="272727" w:themeColor="text1" w:themeTint="D8"/>
    </w:rPr>
  </w:style>
  <w:style w:type="paragraph" w:styleId="Title">
    <w:name w:val="Title"/>
    <w:basedOn w:val="Normal"/>
    <w:next w:val="Normal"/>
    <w:link w:val="TitleChar"/>
    <w:uiPriority w:val="10"/>
    <w:qFormat/>
    <w:rsid w:val="00EA3E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E92"/>
    <w:pPr>
      <w:spacing w:before="160"/>
      <w:jc w:val="center"/>
    </w:pPr>
    <w:rPr>
      <w:i/>
      <w:iCs/>
      <w:color w:val="404040" w:themeColor="text1" w:themeTint="BF"/>
    </w:rPr>
  </w:style>
  <w:style w:type="character" w:customStyle="1" w:styleId="QuoteChar">
    <w:name w:val="Quote Char"/>
    <w:basedOn w:val="DefaultParagraphFont"/>
    <w:link w:val="Quote"/>
    <w:uiPriority w:val="29"/>
    <w:rsid w:val="00EA3E92"/>
    <w:rPr>
      <w:i/>
      <w:iCs/>
      <w:color w:val="404040" w:themeColor="text1" w:themeTint="BF"/>
    </w:rPr>
  </w:style>
  <w:style w:type="paragraph" w:styleId="ListParagraph">
    <w:name w:val="List Paragraph"/>
    <w:basedOn w:val="Normal"/>
    <w:uiPriority w:val="34"/>
    <w:qFormat/>
    <w:rsid w:val="00EA3E92"/>
    <w:pPr>
      <w:ind w:left="720"/>
      <w:contextualSpacing/>
    </w:pPr>
  </w:style>
  <w:style w:type="character" w:styleId="IntenseEmphasis">
    <w:name w:val="Intense Emphasis"/>
    <w:basedOn w:val="DefaultParagraphFont"/>
    <w:uiPriority w:val="21"/>
    <w:qFormat/>
    <w:rsid w:val="00EA3E92"/>
    <w:rPr>
      <w:i/>
      <w:iCs/>
      <w:color w:val="0F4761" w:themeColor="accent1" w:themeShade="BF"/>
    </w:rPr>
  </w:style>
  <w:style w:type="paragraph" w:styleId="IntenseQuote">
    <w:name w:val="Intense Quote"/>
    <w:basedOn w:val="Normal"/>
    <w:next w:val="Normal"/>
    <w:link w:val="IntenseQuoteChar"/>
    <w:uiPriority w:val="30"/>
    <w:qFormat/>
    <w:rsid w:val="00EA3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E92"/>
    <w:rPr>
      <w:i/>
      <w:iCs/>
      <w:color w:val="0F4761" w:themeColor="accent1" w:themeShade="BF"/>
    </w:rPr>
  </w:style>
  <w:style w:type="character" w:styleId="IntenseReference">
    <w:name w:val="Intense Reference"/>
    <w:basedOn w:val="DefaultParagraphFont"/>
    <w:uiPriority w:val="32"/>
    <w:qFormat/>
    <w:rsid w:val="00EA3E92"/>
    <w:rPr>
      <w:b/>
      <w:bCs/>
      <w:smallCaps/>
      <w:color w:val="0F4761" w:themeColor="accent1" w:themeShade="BF"/>
      <w:spacing w:val="5"/>
    </w:rPr>
  </w:style>
  <w:style w:type="paragraph" w:styleId="BodyTextIndent3">
    <w:name w:val="Body Text Indent 3"/>
    <w:basedOn w:val="Normal"/>
    <w:link w:val="BodyTextIndent3Char"/>
    <w:rsid w:val="006E4494"/>
    <w:pPr>
      <w:spacing w:after="120"/>
      <w:ind w:left="360"/>
    </w:pPr>
    <w:rPr>
      <w:sz w:val="16"/>
      <w:szCs w:val="16"/>
    </w:rPr>
  </w:style>
  <w:style w:type="character" w:customStyle="1" w:styleId="BodyTextIndent3Char">
    <w:name w:val="Body Text Indent 3 Char"/>
    <w:basedOn w:val="DefaultParagraphFont"/>
    <w:link w:val="BodyTextIndent3"/>
    <w:rsid w:val="006E4494"/>
    <w:rPr>
      <w:rFonts w:ascii="Times New Roman" w:eastAsia="MS Mincho" w:hAnsi="Times New Roman" w:cs="Times New Roman"/>
      <w:snapToGrid w:val="0"/>
      <w:kern w:val="0"/>
      <w:sz w:val="16"/>
      <w:szCs w:val="1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1683</Words>
  <Characters>9596</Characters>
  <Application>Microsoft Office Word</Application>
  <DocSecurity>0</DocSecurity>
  <Lines>79</Lines>
  <Paragraphs>22</Paragraphs>
  <ScaleCrop>false</ScaleCrop>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2025-04-01T19:16:00Z</dcterms:created>
  <dcterms:modified xsi:type="dcterms:W3CDTF">2025-04-01T19:16:00Z</dcterms:modified>
</cp:coreProperties>
</file>