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9917" w14:textId="77777777" w:rsidR="00C24D4D" w:rsidRPr="005B50D2" w:rsidRDefault="00C24D4D" w:rsidP="00C24D4D">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24"/>
        </w:rPr>
        <w:t xml:space="preserve">Bachelor of Science in Electrical Engineering (B.S.E.E.) </w:t>
      </w:r>
      <w:r w:rsidRPr="005B50D2">
        <w:rPr>
          <w:rFonts w:ascii="BentonSans Comp Regular" w:hAnsi="BentonSans Comp Regular"/>
          <w:b/>
          <w:i/>
          <w:kern w:val="2"/>
          <w:sz w:val="28"/>
          <w:szCs w:val="28"/>
        </w:rPr>
        <w:t>with Concentration in Machine Learning</w:t>
      </w:r>
    </w:p>
    <w:p w14:paraId="47E0F92C" w14:textId="77777777" w:rsidR="00C24D4D" w:rsidRPr="005B50D2" w:rsidRDefault="00C24D4D" w:rsidP="00C24D4D">
      <w:pPr>
        <w:pStyle w:val="BodyTextIndent3"/>
        <w:spacing w:after="0"/>
        <w:ind w:left="0"/>
        <w:jc w:val="both"/>
        <w:rPr>
          <w:rFonts w:ascii="BentonSans Comp Regular" w:hAnsi="BentonSans Comp Regular"/>
          <w:sz w:val="20"/>
          <w:szCs w:val="20"/>
        </w:rPr>
      </w:pPr>
    </w:p>
    <w:p w14:paraId="1CC3E374"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The Bachelor of Science in Electrical Engineering (B.S.E.E.)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B.S.E.E. with Concentration in Machine Learning is similar to the BSEE plan of study with the following primary exception:</w:t>
      </w:r>
    </w:p>
    <w:p w14:paraId="21F9A425"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011AF277"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Students pursuing the B.S.E.E. with Concentration in Machine Learning are required to enroll in approved Machine Learning Technical Electives, usually during the Junior and Senior year, to complete their degree requirements.</w:t>
      </w:r>
    </w:p>
    <w:p w14:paraId="01D47C9A"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4FBCCA5B"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Through careful course selection and scheduling, students can obtain the Concentration in Machine Learning within the required 120 credit hour B.S.E.E. curriculum. Students completing the requirements described in this program receive a special designation on their transcripts showing they have completed the Concentration in Machine Learning.</w:t>
      </w:r>
    </w:p>
    <w:p w14:paraId="18ABE30E"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15326116"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48C34A08"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6FBE1DD"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08147D4E"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517DEA6"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FC53A74"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C605E2A"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8094BEB"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17B26E56"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33F8560" w14:textId="77777777" w:rsidR="00C24D4D" w:rsidRPr="005B50D2" w:rsidRDefault="00C24D4D" w:rsidP="00C24D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26EC8D31" w14:textId="77777777" w:rsidR="00C24D4D" w:rsidRPr="005B50D2" w:rsidRDefault="00C24D4D" w:rsidP="00C24D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BF1580E" w14:textId="77777777" w:rsidR="00C24D4D" w:rsidRPr="005B50D2" w:rsidRDefault="00C24D4D" w:rsidP="00C24D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54CC0752" w14:textId="77777777" w:rsidR="00C24D4D" w:rsidRPr="005B50D2" w:rsidRDefault="00C24D4D" w:rsidP="00C24D4D">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3241C6C2" w14:textId="77777777" w:rsidR="00C24D4D" w:rsidRPr="005B50D2" w:rsidRDefault="00C24D4D" w:rsidP="00C24D4D">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072BE85" w14:textId="77777777" w:rsidR="00C24D4D" w:rsidRPr="005B50D2" w:rsidRDefault="00C24D4D" w:rsidP="00C24D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D03B713"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2934E09"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28258C1C"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437CC3AC"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6B6B7D"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48075142"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In order to remain in the concentration, students must maintain a minimum (overall and program) GPA of 2.50. A GPA in the major and overall GPA of 2.50 or above is also required to graduate.</w:t>
      </w:r>
    </w:p>
    <w:p w14:paraId="5BC52951"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5CEE82F"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5DAE3228"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7EC715A0"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69586F3"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166DA71"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1D6E371"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2BE016FB"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DE661D"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45004997"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371404A4"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1602D8CE"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0644066B"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AB6F775"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5840335F"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or via a request to an advisor in the program of interest, if not in UCOL.</w:t>
      </w:r>
    </w:p>
    <w:p w14:paraId="31FFA4B2"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75E0AB2"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2DCD13D3"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2F7E523B"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C256D57"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2E05628"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356152C"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28770E41" w14:textId="77777777" w:rsidR="00C24D4D" w:rsidRPr="005B50D2" w:rsidRDefault="00C24D4D" w:rsidP="00C24D4D">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7A6AA236"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7DDE036"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45EF555A"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Current UNC Charlotte students who are interested in changing majors to Engineering Technology or Construction Management (ETCM) must meet major-specific requirements in order to declare a major. Please visit the ETCM department at http://et.charlotte.edu/prospective-students/change-majors for more information on the change of major process. Upon satisfying all of the major-specific requirements, students may request admission to an ETCM program by scheduling an appointment with a departmental advisor of the given program.</w:t>
      </w:r>
    </w:p>
    <w:p w14:paraId="09AA4074"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377650D"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766C856D" w14:textId="77777777" w:rsidR="00C24D4D" w:rsidRPr="005B50D2" w:rsidRDefault="00C24D4D" w:rsidP="00C24D4D">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General Education Courses (31-32 credit hours)</w:t>
      </w:r>
    </w:p>
    <w:p w14:paraId="3C47A168" w14:textId="77777777" w:rsidR="00C24D4D" w:rsidRPr="005B50D2" w:rsidRDefault="00C24D4D" w:rsidP="00C24D4D">
      <w:pPr>
        <w:pStyle w:val="BodyTextIndent3"/>
        <w:widowControl/>
        <w:spacing w:after="0"/>
        <w:ind w:left="0"/>
        <w:jc w:val="both"/>
        <w:rPr>
          <w:rFonts w:ascii="BentonSans Comp Regular" w:hAnsi="BentonSans Comp Regular" w:cs="Arial"/>
          <w:color w:val="000000"/>
          <w:sz w:val="20"/>
          <w:szCs w:val="20"/>
          <w:shd w:val="clear" w:color="auto" w:fill="FFFFFF"/>
        </w:rPr>
      </w:pPr>
      <w:r w:rsidRPr="005B50D2">
        <w:rPr>
          <w:rFonts w:ascii="BentonSans Comp Regular" w:hAnsi="BentonSans Comp Regular" w:cs="Arial"/>
          <w:color w:val="000000"/>
          <w:sz w:val="20"/>
          <w:szCs w:val="20"/>
          <w:shd w:val="clear" w:color="auto" w:fill="FFFFFF"/>
        </w:rPr>
        <w:t>For details on required courses, refer to the </w:t>
      </w:r>
      <w:r w:rsidRPr="005B50D2">
        <w:rPr>
          <w:rFonts w:ascii="BentonSans Comp Regular" w:hAnsi="BentonSans Comp Regular" w:cs="Arial"/>
          <w:sz w:val="20"/>
          <w:szCs w:val="20"/>
          <w:shd w:val="clear" w:color="auto" w:fill="FFFFFF"/>
        </w:rPr>
        <w:t xml:space="preserve">General Education </w:t>
      </w:r>
      <w:r w:rsidRPr="005B50D2">
        <w:rPr>
          <w:rFonts w:ascii="BentonSans Comp Regular" w:hAnsi="BentonSans Comp Regular" w:cs="Arial"/>
          <w:sz w:val="20"/>
          <w:shd w:val="clear" w:color="auto" w:fill="FFFFFF"/>
        </w:rPr>
        <w:t>Program. Total hours to satisfy General Education Requirements may vary as s</w:t>
      </w:r>
      <w:r w:rsidRPr="005B50D2">
        <w:rPr>
          <w:rFonts w:ascii="BentonSans Comp Regular" w:hAnsi="BentonSans Comp Regular" w:cs="Arial"/>
          <w:color w:val="000000"/>
          <w:sz w:val="20"/>
          <w:szCs w:val="20"/>
          <w:shd w:val="clear" w:color="auto" w:fill="FFFFFF"/>
        </w:rPr>
        <w:t>ome general education requirements may be double-counted in the major with departmental approval. Please see your advisor for information.</w:t>
      </w:r>
    </w:p>
    <w:p w14:paraId="2307E188"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0063F494" w14:textId="77777777" w:rsidR="00C24D4D" w:rsidRPr="005B50D2" w:rsidRDefault="00C24D4D" w:rsidP="00C24D4D">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Pre-Major Courses (14 credit hours)</w:t>
      </w:r>
    </w:p>
    <w:p w14:paraId="15AA80E6"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ENGR 1201 - Introduction to Engineering Practices and Principles I (2)</w:t>
      </w:r>
    </w:p>
    <w:p w14:paraId="491FB4B3"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ENGR 1202 - Introduction to Engineering Practices and Principles II (2)</w:t>
      </w:r>
    </w:p>
    <w:p w14:paraId="60640143"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MATH 1241 - Calculus I (3)</w:t>
      </w:r>
    </w:p>
    <w:p w14:paraId="77914945"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MATH 1242 - Calculus II (3)</w:t>
      </w:r>
    </w:p>
    <w:p w14:paraId="1BB4C56B"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PHYS 2101 - Physics for Science and Engineering I (3)</w:t>
      </w:r>
    </w:p>
    <w:p w14:paraId="01065C56"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PHYS 2101L - Physics for Science and Engineering I Laboratory (1)</w:t>
      </w:r>
    </w:p>
    <w:p w14:paraId="6C110723"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644BB6E2" w14:textId="77777777" w:rsidR="00C24D4D" w:rsidRPr="005B50D2" w:rsidRDefault="00C24D4D" w:rsidP="00C24D4D">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Major Courses (51 credit hours)</w:t>
      </w:r>
    </w:p>
    <w:p w14:paraId="47B3FA81"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2103 - Computer Utilization in C++ (3)</w:t>
      </w:r>
    </w:p>
    <w:p w14:paraId="5E9E111C"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lastRenderedPageBreak/>
        <w:t>ECGR 2111 - Network Theory I (3)</w:t>
      </w:r>
    </w:p>
    <w:p w14:paraId="71034EBD"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2112 - Network Theory II (3)</w:t>
      </w:r>
    </w:p>
    <w:p w14:paraId="26F09442"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2155 - Instrumentation and Networks Laboratory (1) *</w:t>
      </w:r>
    </w:p>
    <w:p w14:paraId="76747B85"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2156 - Logic and Networks Laboratory (1)*</w:t>
      </w:r>
    </w:p>
    <w:p w14:paraId="6DB38B75"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2181 - Logic Systems Design (3)</w:t>
      </w:r>
    </w:p>
    <w:p w14:paraId="1BFA084F"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2254 - Analytical Foundations of Electrical and Computer Engineering (3)</w:t>
      </w:r>
    </w:p>
    <w:p w14:paraId="621D7B77"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3111 - Signals and Systems (3)</w:t>
      </w:r>
    </w:p>
    <w:p w14:paraId="201669FC"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3112 - System Analysis II (3)</w:t>
      </w:r>
    </w:p>
    <w:p w14:paraId="16ECB5A7"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3121 - Introduction to Electromagnetic Fields (3)</w:t>
      </w:r>
    </w:p>
    <w:p w14:paraId="120177A0"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3122 - Electromagnetic Waves (3)</w:t>
      </w:r>
    </w:p>
    <w:p w14:paraId="5D56F231"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3131 - Fundamentals of Electronics and Semiconductors (3)</w:t>
      </w:r>
    </w:p>
    <w:p w14:paraId="6B961D10"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3132 - Electronics (3)</w:t>
      </w:r>
    </w:p>
    <w:p w14:paraId="78E5D1CA"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3142 - Electrical Energy Conversion (3)</w:t>
      </w:r>
    </w:p>
    <w:p w14:paraId="23AE30A4"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3155 - Systems and Electronics Laboratory (1) *</w:t>
      </w:r>
    </w:p>
    <w:p w14:paraId="6C8CB999"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 xml:space="preserve">ECGR 3156 - </w:t>
      </w:r>
      <w:r w:rsidRPr="005B50D2">
        <w:rPr>
          <w:rFonts w:ascii="BentonSans Comp Regular" w:hAnsi="BentonSans Comp Regular"/>
          <w:spacing w:val="-2"/>
          <w:sz w:val="20"/>
          <w:szCs w:val="20"/>
        </w:rPr>
        <w:t>Electromagnetic and Electronic Devices Laboratory (1)*</w:t>
      </w:r>
    </w:p>
    <w:p w14:paraId="6DB9215C"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 xml:space="preserve">ECGR 3157 - ECE Junior Design (3) </w:t>
      </w:r>
    </w:p>
    <w:p w14:paraId="7241AD25"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4241 - Electrical Engineering Senior Design I (2)</w:t>
      </w:r>
    </w:p>
    <w:p w14:paraId="5C9C65D7"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4242 - Electrical Engineering Senior Design II (2)</w:t>
      </w:r>
    </w:p>
    <w:p w14:paraId="76FBDD9E"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4123 - Analog and Digital Communication (3)|</w:t>
      </w:r>
      <w:r w:rsidRPr="005B50D2">
        <w:rPr>
          <w:rFonts w:ascii="BentonSans Comp Regular" w:hAnsi="BentonSans Comp Regular"/>
          <w:sz w:val="20"/>
          <w:szCs w:val="20"/>
        </w:rPr>
        <w:br/>
        <w:t>or  ECGR 4124 - Digital Signal Processing (3)</w:t>
      </w:r>
    </w:p>
    <w:p w14:paraId="3771E18C"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26E6881C" w14:textId="77777777" w:rsidR="00C24D4D" w:rsidRPr="005B50D2" w:rsidRDefault="00C24D4D" w:rsidP="00C24D4D">
      <w:pPr>
        <w:pStyle w:val="BodyTextIndent3"/>
        <w:widowControl/>
        <w:spacing w:after="0"/>
        <w:ind w:left="0"/>
        <w:jc w:val="both"/>
        <w:rPr>
          <w:rFonts w:ascii="BentonSans Comp Regular" w:hAnsi="BentonSans Comp Regular"/>
          <w:i/>
          <w:sz w:val="20"/>
          <w:szCs w:val="20"/>
        </w:rPr>
      </w:pPr>
      <w:r w:rsidRPr="005B50D2">
        <w:rPr>
          <w:rFonts w:ascii="BentonSans Comp Regular" w:hAnsi="BentonSans Comp Regular"/>
          <w:i/>
          <w:sz w:val="20"/>
          <w:szCs w:val="20"/>
        </w:rPr>
        <w:t>* The laboratory courses are designed to:  (1) teach the basic techniques of instrumentation; (2) develop skills in communications; and (3) relate the analytical methods developed in the classroom to the performance of real physical systems.</w:t>
      </w:r>
    </w:p>
    <w:p w14:paraId="75006240"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2AC6276A" w14:textId="77777777" w:rsidR="00C24D4D" w:rsidRPr="005B50D2" w:rsidRDefault="00C24D4D" w:rsidP="00C24D4D">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Related Courses (19 credit hours)</w:t>
      </w:r>
    </w:p>
    <w:p w14:paraId="0EE2D238"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ENGR 3295 - Multidisciplinary Professional Development (1)</w:t>
      </w:r>
    </w:p>
    <w:p w14:paraId="2EA7777A"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MATH 2164 - Matrices and Linear Algebra (3)</w:t>
      </w:r>
    </w:p>
    <w:p w14:paraId="699F4195"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MATH 2171 - Differential Equations (3)</w:t>
      </w:r>
    </w:p>
    <w:p w14:paraId="1DA3EF29"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MATH 2241 - Calculus III (3)</w:t>
      </w:r>
    </w:p>
    <w:p w14:paraId="351ABF4D"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PHYS 2102 - Physics for Science and Engineering II (3)</w:t>
      </w:r>
    </w:p>
    <w:p w14:paraId="5E29CAC8"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PHYS 3141 - Introduction to Modern Physics (3)</w:t>
      </w:r>
    </w:p>
    <w:p w14:paraId="04554462"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STAT 3128 - Probability and Statistics for Engineers (3)</w:t>
      </w:r>
    </w:p>
    <w:p w14:paraId="562D2264"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1C8D3869" w14:textId="77777777" w:rsidR="00C24D4D" w:rsidRPr="005B50D2" w:rsidRDefault="00C24D4D" w:rsidP="00C24D4D">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Concentration Courses (9 credit hours)</w:t>
      </w:r>
    </w:p>
    <w:p w14:paraId="70B9E510" w14:textId="77777777" w:rsidR="00C24D4D" w:rsidRPr="005B50D2" w:rsidRDefault="00C24D4D" w:rsidP="00C24D4D">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Concentration Required Course (3 credit hours)</w:t>
      </w:r>
    </w:p>
    <w:p w14:paraId="26959D9C"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ECGR 4105 - Introduction to Machine Learning (3)</w:t>
      </w:r>
    </w:p>
    <w:p w14:paraId="54CC3AD1"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39F95944" w14:textId="77777777" w:rsidR="00C24D4D" w:rsidRPr="005B50D2" w:rsidRDefault="00C24D4D" w:rsidP="00C24D4D">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Concentration Elective Courses (6 credit hours)</w:t>
      </w:r>
    </w:p>
    <w:p w14:paraId="2DE24A6A" w14:textId="77777777" w:rsidR="00C24D4D" w:rsidRPr="005B50D2" w:rsidRDefault="00C24D4D" w:rsidP="00C24D4D">
      <w:pPr>
        <w:pStyle w:val="BodyTextIndent3"/>
        <w:widowControl/>
        <w:spacing w:after="0"/>
        <w:ind w:left="0"/>
        <w:jc w:val="both"/>
        <w:rPr>
          <w:rFonts w:ascii="BentonSans Comp Regular" w:hAnsi="BentonSans Comp Regular"/>
          <w:i/>
          <w:sz w:val="20"/>
          <w:szCs w:val="20"/>
        </w:rPr>
      </w:pPr>
      <w:r w:rsidRPr="005B50D2">
        <w:rPr>
          <w:rFonts w:ascii="BentonSans Comp Regular" w:hAnsi="BentonSans Comp Regular"/>
          <w:i/>
          <w:sz w:val="20"/>
          <w:szCs w:val="20"/>
        </w:rPr>
        <w:t>Select two of the following:</w:t>
      </w:r>
    </w:p>
    <w:p w14:paraId="5D4D8DA3"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4106 - Real-Time Machine Learning (3)</w:t>
      </w:r>
    </w:p>
    <w:p w14:paraId="033F8AD9"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4115 - Convex Optimization and AI Applications (3)</w:t>
      </w:r>
    </w:p>
    <w:p w14:paraId="37BE5823" w14:textId="77777777" w:rsidR="00C24D4D" w:rsidRPr="005B50D2" w:rsidRDefault="00C24D4D" w:rsidP="00C24D4D">
      <w:pPr>
        <w:pStyle w:val="BodyTextIndent3"/>
        <w:spacing w:after="0"/>
        <w:ind w:left="0"/>
        <w:rPr>
          <w:rFonts w:ascii="BentonSans Comp Regular" w:hAnsi="BentonSans Comp Regular"/>
          <w:sz w:val="20"/>
        </w:rPr>
      </w:pPr>
      <w:r w:rsidRPr="005B50D2">
        <w:rPr>
          <w:rFonts w:ascii="BentonSans Comp Regular" w:hAnsi="BentonSans Comp Regular"/>
          <w:sz w:val="20"/>
        </w:rPr>
        <w:t>ECGR 4116 - Artificial Intelligence for Biomedical Applications (3)</w:t>
      </w:r>
    </w:p>
    <w:p w14:paraId="1C47FE20" w14:textId="77777777" w:rsidR="00C24D4D" w:rsidRPr="005B50D2" w:rsidRDefault="00C24D4D" w:rsidP="00C24D4D">
      <w:pPr>
        <w:pStyle w:val="BodyTextIndent3"/>
        <w:spacing w:after="0"/>
        <w:ind w:left="0"/>
        <w:rPr>
          <w:rFonts w:ascii="BentonSans Comp Regular" w:hAnsi="BentonSans Comp Regular"/>
          <w:sz w:val="20"/>
        </w:rPr>
      </w:pPr>
      <w:r w:rsidRPr="005B50D2">
        <w:rPr>
          <w:rFonts w:ascii="BentonSans Comp Regular" w:hAnsi="BentonSans Comp Regular"/>
          <w:sz w:val="20"/>
        </w:rPr>
        <w:t>ECGR 4117 - AI for Robotics and Automation (3)</w:t>
      </w:r>
    </w:p>
    <w:p w14:paraId="10ECE014" w14:textId="77777777" w:rsidR="00C24D4D" w:rsidRPr="005B50D2" w:rsidRDefault="00C24D4D" w:rsidP="00C24D4D">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4127 - Machine Learning for the Internet of Things (3)</w:t>
      </w:r>
    </w:p>
    <w:p w14:paraId="6A5D198F" w14:textId="77777777" w:rsidR="00C24D4D" w:rsidRPr="005B50D2" w:rsidRDefault="00C24D4D" w:rsidP="00C24D4D">
      <w:pPr>
        <w:pStyle w:val="BodyTextIndent3"/>
        <w:widowControl/>
        <w:spacing w:after="0"/>
        <w:ind w:left="288" w:hanging="288"/>
        <w:rPr>
          <w:rFonts w:ascii="BentonSans Comp Regular" w:hAnsi="BentonSans Comp Regular"/>
          <w:i/>
          <w:sz w:val="20"/>
          <w:szCs w:val="20"/>
        </w:rPr>
      </w:pPr>
      <w:r w:rsidRPr="005B50D2">
        <w:rPr>
          <w:rFonts w:ascii="BentonSans Comp Regular" w:hAnsi="BentonSans Comp Regular"/>
          <w:sz w:val="20"/>
          <w:szCs w:val="20"/>
        </w:rPr>
        <w:t xml:space="preserve">ECGR 4090 - Special Topics in Electrical Engineering (1 to 4) </w:t>
      </w:r>
      <w:r w:rsidRPr="005B50D2">
        <w:rPr>
          <w:rFonts w:ascii="BentonSans Comp Regular" w:hAnsi="BentonSans Comp Regular"/>
          <w:i/>
          <w:sz w:val="20"/>
          <w:szCs w:val="20"/>
        </w:rPr>
        <w:t>(requires department approval)</w:t>
      </w:r>
    </w:p>
    <w:p w14:paraId="10AA68EE"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74882E1A" w14:textId="77777777" w:rsidR="00C24D4D" w:rsidRPr="005B50D2" w:rsidRDefault="00C24D4D" w:rsidP="00C24D4D">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Restricted Elective Courses (9 credit hours)</w:t>
      </w:r>
    </w:p>
    <w:p w14:paraId="275D8BC4" w14:textId="77777777" w:rsidR="00C24D4D" w:rsidRPr="005B50D2" w:rsidRDefault="00C24D4D" w:rsidP="00C24D4D">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Technical Elective Course (3 credit hours)</w:t>
      </w:r>
    </w:p>
    <w:p w14:paraId="4AC79C78"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Select one ECGR 4000-level course that is not required as part of the curriculum. </w:t>
      </w:r>
    </w:p>
    <w:p w14:paraId="66CA7F42"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0180F4C0" w14:textId="77777777" w:rsidR="00C24D4D" w:rsidRPr="005B50D2" w:rsidRDefault="00C24D4D" w:rsidP="00C24D4D">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Elective Courses (6 credit hours)</w:t>
      </w:r>
    </w:p>
    <w:p w14:paraId="4B3A2132" w14:textId="77777777" w:rsidR="00C24D4D" w:rsidRPr="005B50D2" w:rsidRDefault="00C24D4D" w:rsidP="00C24D4D">
      <w:pPr>
        <w:pStyle w:val="BodyTextIndent3"/>
        <w:widowControl/>
        <w:spacing w:after="0"/>
        <w:ind w:left="0"/>
        <w:jc w:val="both"/>
        <w:rPr>
          <w:rFonts w:ascii="BentonSans Comp Regular" w:hAnsi="BentonSans Comp Regular"/>
          <w:i/>
          <w:sz w:val="20"/>
          <w:szCs w:val="20"/>
        </w:rPr>
      </w:pPr>
      <w:r w:rsidRPr="005B50D2">
        <w:rPr>
          <w:rFonts w:ascii="BentonSans Comp Regular" w:hAnsi="BentonSans Comp Regular"/>
          <w:i/>
          <w:sz w:val="20"/>
          <w:szCs w:val="20"/>
        </w:rPr>
        <w:t>Select two courses from the following that are not already required in the curriculum:</w:t>
      </w:r>
    </w:p>
    <w:p w14:paraId="101864E4"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lastRenderedPageBreak/>
        <w:t xml:space="preserve">CEGR 3000-level courses </w:t>
      </w:r>
    </w:p>
    <w:p w14:paraId="12E34916"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CEGR 4000-level courses </w:t>
      </w:r>
    </w:p>
    <w:p w14:paraId="347784B2"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ECGR 3000-level courses </w:t>
      </w:r>
    </w:p>
    <w:p w14:paraId="682A60E0"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ECGR 4000-level courses  </w:t>
      </w:r>
    </w:p>
    <w:p w14:paraId="3CD364C4"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MATH 3000-level courses </w:t>
      </w:r>
    </w:p>
    <w:p w14:paraId="14CD828E"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MATH 4000-level courses </w:t>
      </w:r>
    </w:p>
    <w:p w14:paraId="2B1642C6"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MEGR 3000-level courses </w:t>
      </w:r>
    </w:p>
    <w:p w14:paraId="100C80D2"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MEGR 4000-level courses </w:t>
      </w:r>
    </w:p>
    <w:p w14:paraId="4AB6B86D"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PHYS 3000-level courses </w:t>
      </w:r>
    </w:p>
    <w:p w14:paraId="5ECE1A04"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PHYS 4000-level courses </w:t>
      </w:r>
    </w:p>
    <w:p w14:paraId="23C9054A"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SEGR 3000-level courses </w:t>
      </w:r>
    </w:p>
    <w:p w14:paraId="71DCA8B1"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SEGR 4000-level courses </w:t>
      </w:r>
    </w:p>
    <w:p w14:paraId="39409313"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7D5714A5"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b/>
          <w:sz w:val="20"/>
          <w:szCs w:val="20"/>
        </w:rPr>
        <w:t>Unrestricted Elective Courses</w:t>
      </w:r>
    </w:p>
    <w:p w14:paraId="10BFE87E" w14:textId="77777777" w:rsidR="00C24D4D" w:rsidRPr="005B50D2" w:rsidRDefault="00C24D4D" w:rsidP="00C24D4D">
      <w:pPr>
        <w:pStyle w:val="BodyTextIndent3"/>
        <w:widowControl/>
        <w:spacing w:after="0"/>
        <w:ind w:left="0"/>
        <w:jc w:val="both"/>
        <w:rPr>
          <w:rFonts w:ascii="BentonSans Comp Regular" w:hAnsi="BentonSans Comp Regular"/>
          <w:sz w:val="20"/>
        </w:rPr>
      </w:pPr>
      <w:r w:rsidRPr="005B50D2">
        <w:rPr>
          <w:rFonts w:ascii="BentonSans Comp Regular" w:hAnsi="BentonSans Comp Regular"/>
          <w:sz w:val="20"/>
        </w:rPr>
        <w:t>As needed to complete the credit hours required for graduation.</w:t>
      </w:r>
    </w:p>
    <w:p w14:paraId="2D46E8A4"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14579E44" w14:textId="77777777" w:rsidR="00C24D4D" w:rsidRPr="005B50D2" w:rsidRDefault="00C24D4D" w:rsidP="00C24D4D">
      <w:pPr>
        <w:pStyle w:val="BodyTextIndent3"/>
        <w:widowControl/>
        <w:spacing w:after="0"/>
        <w:ind w:left="0"/>
        <w:jc w:val="both"/>
        <w:rPr>
          <w:rFonts w:ascii="BentonSans Comp Regular" w:hAnsi="BentonSans Comp Regular"/>
          <w:b/>
          <w:sz w:val="24"/>
          <w:szCs w:val="20"/>
        </w:rPr>
      </w:pPr>
      <w:r w:rsidRPr="005B50D2">
        <w:rPr>
          <w:rFonts w:ascii="BentonSans Comp Regular" w:hAnsi="BentonSans Comp Regular"/>
          <w:b/>
          <w:sz w:val="24"/>
          <w:szCs w:val="20"/>
        </w:rPr>
        <w:t>Degree Total = 120 Credit Hours</w:t>
      </w:r>
    </w:p>
    <w:p w14:paraId="005F6382"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p>
    <w:p w14:paraId="66792CAB"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51B39009"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70A9916B"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343CA225"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252B0D"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4DF161BF"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403FB5ED"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7332142"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1242, PHYS 2101; CHEM 1251 or MEGR 1100 (MEGR majors); MATH 2164 and ECGR 2103 (CPGR/EEGR Majors); MATH 2164 (SEGR Majors).</w:t>
      </w:r>
    </w:p>
    <w:p w14:paraId="2F8FCADA"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3A65D9EC"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0660C92" w14:textId="77777777" w:rsidR="00C24D4D" w:rsidRPr="005B50D2" w:rsidRDefault="00C24D4D" w:rsidP="00C24D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15FD3514"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E9F371" w14:textId="77777777" w:rsidR="00C24D4D" w:rsidRPr="005B50D2" w:rsidRDefault="00C24D4D" w:rsidP="00C24D4D">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32D1237" w14:textId="77777777" w:rsidR="00C24D4D" w:rsidRPr="005B50D2" w:rsidRDefault="00C24D4D" w:rsidP="00C24D4D">
      <w:pPr>
        <w:pStyle w:val="ListParagraph"/>
        <w:keepNext/>
        <w:keepLines/>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73208B7D" w14:textId="77777777" w:rsidR="00C24D4D" w:rsidRPr="005B50D2" w:rsidRDefault="00C24D4D" w:rsidP="00C24D4D">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2942D81" w14:textId="77777777" w:rsidR="00C24D4D" w:rsidRPr="005B50D2" w:rsidRDefault="00C24D4D" w:rsidP="00C24D4D">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49A2786B" w14:textId="77777777" w:rsidR="00C24D4D" w:rsidRPr="005B50D2" w:rsidRDefault="00C24D4D" w:rsidP="00C24D4D">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78F27071"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7D09B83"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8EA98D3" w14:textId="77777777" w:rsidR="00C24D4D" w:rsidRPr="005B50D2" w:rsidRDefault="00C24D4D" w:rsidP="00C24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AF5C540" w14:textId="77777777" w:rsidR="00C24D4D" w:rsidRPr="005B50D2" w:rsidRDefault="00C24D4D" w:rsidP="00C24D4D">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w:t>
      </w:r>
      <w:r w:rsidRPr="005B50D2">
        <w:rPr>
          <w:rFonts w:ascii="BentonSans Comp Regular" w:hAnsi="BentonSans Comp Regular"/>
          <w:sz w:val="20"/>
        </w:rPr>
        <w:lastRenderedPageBreak/>
        <w:t>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89C8F8A"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96"/>
    <w:rsid w:val="003A7296"/>
    <w:rsid w:val="004F28D8"/>
    <w:rsid w:val="0092182C"/>
    <w:rsid w:val="00C040A9"/>
    <w:rsid w:val="00C24D4D"/>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F7392-3575-445B-BA71-853F65AD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D4D"/>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3A7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96"/>
    <w:rPr>
      <w:rFonts w:eastAsiaTheme="majorEastAsia" w:cstheme="majorBidi"/>
      <w:color w:val="272727" w:themeColor="text1" w:themeTint="D8"/>
    </w:rPr>
  </w:style>
  <w:style w:type="paragraph" w:styleId="Title">
    <w:name w:val="Title"/>
    <w:basedOn w:val="Normal"/>
    <w:next w:val="Normal"/>
    <w:link w:val="TitleChar"/>
    <w:uiPriority w:val="10"/>
    <w:qFormat/>
    <w:rsid w:val="003A72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96"/>
    <w:pPr>
      <w:spacing w:before="160"/>
      <w:jc w:val="center"/>
    </w:pPr>
    <w:rPr>
      <w:i/>
      <w:iCs/>
      <w:color w:val="404040" w:themeColor="text1" w:themeTint="BF"/>
    </w:rPr>
  </w:style>
  <w:style w:type="character" w:customStyle="1" w:styleId="QuoteChar">
    <w:name w:val="Quote Char"/>
    <w:basedOn w:val="DefaultParagraphFont"/>
    <w:link w:val="Quote"/>
    <w:uiPriority w:val="29"/>
    <w:rsid w:val="003A7296"/>
    <w:rPr>
      <w:i/>
      <w:iCs/>
      <w:color w:val="404040" w:themeColor="text1" w:themeTint="BF"/>
    </w:rPr>
  </w:style>
  <w:style w:type="paragraph" w:styleId="ListParagraph">
    <w:name w:val="List Paragraph"/>
    <w:basedOn w:val="Normal"/>
    <w:uiPriority w:val="34"/>
    <w:qFormat/>
    <w:rsid w:val="003A7296"/>
    <w:pPr>
      <w:ind w:left="720"/>
      <w:contextualSpacing/>
    </w:pPr>
  </w:style>
  <w:style w:type="character" w:styleId="IntenseEmphasis">
    <w:name w:val="Intense Emphasis"/>
    <w:basedOn w:val="DefaultParagraphFont"/>
    <w:uiPriority w:val="21"/>
    <w:qFormat/>
    <w:rsid w:val="003A7296"/>
    <w:rPr>
      <w:i/>
      <w:iCs/>
      <w:color w:val="0F4761" w:themeColor="accent1" w:themeShade="BF"/>
    </w:rPr>
  </w:style>
  <w:style w:type="paragraph" w:styleId="IntenseQuote">
    <w:name w:val="Intense Quote"/>
    <w:basedOn w:val="Normal"/>
    <w:next w:val="Normal"/>
    <w:link w:val="IntenseQuoteChar"/>
    <w:uiPriority w:val="30"/>
    <w:qFormat/>
    <w:rsid w:val="003A7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96"/>
    <w:rPr>
      <w:i/>
      <w:iCs/>
      <w:color w:val="0F4761" w:themeColor="accent1" w:themeShade="BF"/>
    </w:rPr>
  </w:style>
  <w:style w:type="character" w:styleId="IntenseReference">
    <w:name w:val="Intense Reference"/>
    <w:basedOn w:val="DefaultParagraphFont"/>
    <w:uiPriority w:val="32"/>
    <w:qFormat/>
    <w:rsid w:val="003A7296"/>
    <w:rPr>
      <w:b/>
      <w:bCs/>
      <w:smallCaps/>
      <w:color w:val="0F4761" w:themeColor="accent1" w:themeShade="BF"/>
      <w:spacing w:val="5"/>
    </w:rPr>
  </w:style>
  <w:style w:type="paragraph" w:styleId="BodyTextIndent3">
    <w:name w:val="Body Text Indent 3"/>
    <w:basedOn w:val="Normal"/>
    <w:link w:val="BodyTextIndent3Char"/>
    <w:rsid w:val="00C24D4D"/>
    <w:pPr>
      <w:spacing w:after="120"/>
      <w:ind w:left="360"/>
    </w:pPr>
    <w:rPr>
      <w:sz w:val="16"/>
      <w:szCs w:val="16"/>
    </w:rPr>
  </w:style>
  <w:style w:type="character" w:customStyle="1" w:styleId="BodyTextIndent3Char">
    <w:name w:val="Body Text Indent 3 Char"/>
    <w:basedOn w:val="DefaultParagraphFont"/>
    <w:link w:val="BodyTextIndent3"/>
    <w:rsid w:val="00C24D4D"/>
    <w:rPr>
      <w:rFonts w:ascii="Times New Roman" w:eastAsia="MS Mincho" w:hAnsi="Times New Roman" w:cs="Times New Roman"/>
      <w:snapToGrid w:val="0"/>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10564</Characters>
  <Application>Microsoft Office Word</Application>
  <DocSecurity>0</DocSecurity>
  <Lines>88</Lines>
  <Paragraphs>24</Paragraphs>
  <ScaleCrop>false</ScaleCrop>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2025-04-01T19:16:00Z</dcterms:created>
  <dcterms:modified xsi:type="dcterms:W3CDTF">2025-04-01T19:17:00Z</dcterms:modified>
</cp:coreProperties>
</file>