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D51" w:val="clear"/>
            <w:tcMar>
              <w:top w:type="dxa" w:w="600"/>
              <w:left w:type="dxa" w:w="400"/>
              <w:bottom w:type="dxa" w:w="600"/>
              <w:right w:type="dxa" w:w="400"/>
            </w:tcMar>
          </w:tcPr>
          <w:p>
            <w:pPr>
              <w:jc w:val="center"/>
            </w:pPr>
            <w:r>
              <w:rPr>
                <w:rFonts w:ascii="Arial" w:cs="Arial" w:eastAsia="Arial" w:hAnsi="Arial"/>
                <w:sz w:val="72"/>
                <w:szCs w:val="72"/>
              </w:rPr>
              <w:t xml:space="preserve">🏥</w:t>
            </w:r>
          </w:p>
          <w:p>
            <w:pPr>
              <w:spacing w:before="200"/>
              <w:jc w:val="center"/>
            </w:pPr>
            <w:r>
              <w:rPr>
                <w:rFonts w:ascii="Arial" w:cs="Arial" w:eastAsia="Arial" w:hAnsi="Arial"/>
                <w:b/>
                <w:bCs/>
                <w:color w:val="FFFFFF"/>
                <w:sz w:val="64"/>
                <w:szCs w:val="64"/>
              </w:rPr>
              <w:t xml:space="preserve">CLINICAI</w:t>
            </w:r>
          </w:p>
          <w:p>
            <w:pPr>
              <w:jc w:val="center"/>
            </w:pPr>
            <w:r>
              <w:rPr>
                <w:rFonts w:ascii="Arial" w:cs="Arial" w:eastAsia="Arial" w:hAnsi="Arial"/>
                <w:color w:val="90CAF9"/>
                <w:sz w:val="32"/>
                <w:szCs w:val="32"/>
              </w:rPr>
              <w:t xml:space="preserve">Agentic AI Platform for Clinics</w:t>
            </w:r>
          </w:p>
          <w:p>
            <w:pPr>
              <w:spacing w:before="300"/>
              <w:jc w:val="center"/>
            </w:pPr>
            <w:r>
              <w:rPr>
                <w:rFonts w:ascii="Arial" w:cs="Arial" w:eastAsia="Arial" w:hAnsi="Arial"/>
                <w:color w:val="94A3B8"/>
                <w:sz w:val="24"/>
                <w:szCs w:val="24"/>
              </w:rPr>
              <w:t xml:space="preserve">Complete Implementation Plan &amp; Agent Architecture</w:t>
            </w:r>
          </w:p>
          <w:p>
            <w:pPr>
              <w:spacing w:before="120"/>
              <w:jc w:val="center"/>
            </w:pPr>
            <w:r>
              <w:rPr>
                <w:rFonts w:ascii="Arial" w:cs="Arial" w:eastAsia="Arial" w:hAnsi="Arial"/>
                <w:i/>
                <w:iCs/>
                <w:color w:val="94A3B8"/>
                <w:sz w:val="20"/>
                <w:szCs w:val="20"/>
              </w:rPr>
              <w:t xml:space="preserve">Version 1.0  |  Confidential</w:t>
            </w:r>
          </w:p>
        </w:tc>
      </w:tr>
    </w:tbl>
    <w:p>
      <w:r>
        <w:br w:type="page"/>
      </w:r>
    </w:p>
    <w:p>
      <w:pPr>
        <w:pStyle w:val="Heading1"/>
        <w:spacing w:before="400" w:after="160"/>
      </w:pPr>
      <w:r>
        <w:rPr>
          <w:rFonts w:ascii="Arial" w:cs="Arial" w:eastAsia="Arial" w:hAnsi="Arial"/>
          <w:b/>
          <w:bCs/>
          <w:color w:val="0B1D51"/>
          <w:sz w:val="36"/>
          <w:szCs w:val="36"/>
        </w:rPr>
        <w:t xml:space="preserve">Executive Summary</w:t>
      </w:r>
    </w:p>
    <w:p>
      <w:pPr>
        <w:spacing w:before="60" w:after="100"/>
      </w:pPr>
      <w:r>
        <w:rPr>
          <w:rFonts w:ascii="Arial" w:cs="Arial" w:eastAsia="Arial" w:hAnsi="Arial"/>
          <w:color w:val="1E293B"/>
          <w:sz w:val="22"/>
          <w:szCs w:val="22"/>
        </w:rPr>
        <w:t xml:space="preserve">ClinicAI is an end-to-end, multi-agent artificial intelligence platform designed to transform how clinics deliver patient care. It deploys 12 specialised AI agents — each with a precise role, defined inputs/outputs, and inter-agent communication channels — to automate triage, prioritisation, monitoring, risk prediction, decision support, and administration. Together they form a collaborative, self-orchestrating system that augments clinicians, reduces administrative burden, and improves patient outcomes.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
              <w:left w:val="single" w:color="0D7377" w:sz="1"/>
              <w:bottom w:val="single" w:color="0D7377" w:sz="1"/>
              <w:right w:val="single" w:color="0D7377" w:sz="1"/>
            </w:tcBorders>
            <w:shd w:fill="0D7377" w:val="clear"/>
            <w:tcMar>
              <w:top w:type="dxa" w:w="100"/>
              <w:left w:type="dxa" w:w="160"/>
              <w:bottom w:type="dxa" w:w="100"/>
              <w:right w:type="dxa" w:w="160"/>
            </w:tcMar>
          </w:tcPr>
          <w:p>
            <w:r>
              <w:rPr>
                <w:rFonts w:ascii="Arial" w:cs="Arial" w:eastAsia="Arial" w:hAnsi="Arial"/>
                <w:b/>
                <w:bCs/>
                <w:color w:val="FFFFFF"/>
                <w:sz w:val="22"/>
                <w:szCs w:val="22"/>
              </w:rPr>
              <w:t xml:space="preserve">Platform at a Glance</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12 AI Agents working in coordinated pipelines</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Covers patient journey from symptom input to discharge follow-up</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LLM-powered reasoning (GPT-4o / Claude 3.5 Sonnet) + specialist ML models</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Deployable on cloud (AWS / Azure / GCP) or on-premise</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HIPAA / GDPR compliance by design — encrypted, role-gated, auditable</w:t>
            </w:r>
          </w:p>
        </w:tc>
      </w:tr>
      <w:tr>
        <w:tc>
          <w:tcPr>
            <w:tcW w:type="dxa" w:w="9360"/>
            <w:tcBorders>
              <w:top w:val="single" w:color="0D7377" w:sz="1"/>
              <w:left w:val="single" w:color="0D7377" w:sz="1"/>
              <w:bottom w:val="single" w:color="0D7377" w:sz="1"/>
              <w:right w:val="single" w:color="0D7377" w:sz="1"/>
            </w:tcBorders>
            <w:shd w:fill="E6F4F1" w:val="clear"/>
            <w:tcMar>
              <w:top w:type="dxa" w:w="60"/>
              <w:left w:type="dxa" w:w="160"/>
              <w:bottom w:type="dxa" w:w="60"/>
              <w:right w:type="dxa" w:w="160"/>
            </w:tcMar>
          </w:tcPr>
          <w:p>
            <w:r>
              <w:rPr>
                <w:rFonts w:ascii="Arial" w:cs="Arial" w:eastAsia="Arial" w:hAnsi="Arial"/>
                <w:color w:val="1E293B"/>
                <w:sz w:val="20"/>
                <w:szCs w:val="20"/>
              </w:rPr>
              <w:t xml:space="preserve">  REST + WebSocket APIs — integrates with existing EHR/EMR systems</w:t>
            </w:r>
          </w:p>
        </w:tc>
      </w:tr>
    </w:tbl>
    <w:p>
      <w:pPr>
        <w:spacing w:before="160" w:after="0"/>
      </w:pPr>
    </w:p>
    <w:p>
      <w:pPr>
        <w:pStyle w:val="Heading1"/>
        <w:spacing w:before="400" w:after="160"/>
      </w:pPr>
      <w:r>
        <w:rPr>
          <w:rFonts w:ascii="Arial" w:cs="Arial" w:eastAsia="Arial" w:hAnsi="Arial"/>
          <w:b/>
          <w:bCs/>
          <w:color w:val="0B1D51"/>
          <w:sz w:val="36"/>
          <w:szCs w:val="36"/>
        </w:rPr>
        <w:t xml:space="preserve">System Architecture Overview</w:t>
      </w:r>
    </w:p>
    <w:p>
      <w:pPr>
        <w:pStyle w:val="Heading2"/>
        <w:pBdr>
          <w:bottom w:val="single" w:color="0D7377" w:sz="4" w:space="2"/>
        </w:pBdr>
        <w:spacing w:before="320" w:after="120"/>
      </w:pPr>
      <w:r>
        <w:rPr>
          <w:rFonts w:ascii="Arial" w:cs="Arial" w:eastAsia="Arial" w:hAnsi="Arial"/>
          <w:b/>
          <w:bCs/>
          <w:color w:val="0D7377"/>
          <w:sz w:val="28"/>
          <w:szCs w:val="28"/>
        </w:rPr>
        <w:t xml:space="preserve">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Layer 1 — Interface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Portal, Doctor Dashboard, Clinic Admin Panel, Mobile App — all consume the same agent API layer</w:t>
            </w:r>
          </w:p>
        </w:tc>
      </w:tr>
      <w:tr>
        <w:tc>
          <w:tcPr>
            <w:tcW w:type="dxa" w:w="3000"/>
            <w:tcBorders>
              <w:top w:val="single" w:color="E2E8F0" w:sz="1"/>
              <w:left w:val="single" w:color="E2E8F0" w:sz="1"/>
              <w:bottom w:val="single" w:color="E2E8F0" w:sz="1"/>
              <w:right w:val="single" w:color="E2E8F0" w:sz="1"/>
            </w:tcBorders>
            <w:shd w:fill="EDE9FE" w:val="clear"/>
            <w:tcMar>
              <w:top w:type="dxa" w:w="80"/>
              <w:left w:type="dxa" w:w="120"/>
              <w:bottom w:type="dxa" w:w="80"/>
              <w:right w:type="dxa" w:w="120"/>
            </w:tcMar>
          </w:tcPr>
          <w:p>
            <w:r>
              <w:rPr>
                <w:rFonts w:ascii="Arial" w:cs="Arial" w:eastAsia="Arial" w:hAnsi="Arial"/>
                <w:b/>
                <w:bCs/>
                <w:color w:val="0D7377"/>
                <w:sz w:val="20"/>
                <w:szCs w:val="20"/>
              </w:rPr>
              <w:t xml:space="preserve">Layer 2 — Agent Orchestration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12 agents coordinated by the Orchestrator Agent via an internal event bus (Redis Streams / RabbitMQ)</w:t>
            </w:r>
          </w:p>
        </w:tc>
      </w:tr>
      <w:tr>
        <w:tc>
          <w:tcPr>
            <w:tcW w:type="dxa" w:w="30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tcPr>
          <w:p>
            <w:r>
              <w:rPr>
                <w:rFonts w:ascii="Arial" w:cs="Arial" w:eastAsia="Arial" w:hAnsi="Arial"/>
                <w:b/>
                <w:bCs/>
                <w:color w:val="0D7377"/>
                <w:sz w:val="20"/>
                <w:szCs w:val="20"/>
              </w:rPr>
              <w:t xml:space="preserve">Layer 3 — Data &amp; ML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(structured EHR), MongoDB (documents/imaging), InfluxDB (time-series vitals), Pinecone (vector embeddings for RAG)</w:t>
            </w:r>
          </w:p>
        </w:tc>
      </w:tr>
    </w:tbl>
    <w:p>
      <w:pPr>
        <w:spacing w:before="120" w:after="0"/>
      </w:pPr>
    </w:p>
    <w:p>
      <w:pPr>
        <w:pStyle w:val="Heading2"/>
        <w:pBdr>
          <w:bottom w:val="single" w:color="0D7377" w:sz="4" w:space="2"/>
        </w:pBdr>
        <w:spacing w:before="320" w:after="120"/>
      </w:pPr>
      <w:r>
        <w:rPr>
          <w:rFonts w:ascii="Arial" w:cs="Arial" w:eastAsia="Arial" w:hAnsi="Arial"/>
          <w:b/>
          <w:bCs/>
          <w:color w:val="0D7377"/>
          <w:sz w:val="28"/>
          <w:szCs w:val="28"/>
        </w:rPr>
        <w:t xml:space="preserve">Communication Patterns</w:t>
      </w:r>
    </w:p>
    <w:p>
      <w:pPr>
        <w:spacing w:before="60" w:after="100"/>
      </w:pPr>
      <w:r>
        <w:rPr>
          <w:rFonts w:ascii="Arial" w:cs="Arial" w:eastAsia="Arial" w:hAnsi="Arial"/>
          <w:color w:val="1E293B"/>
          <w:sz w:val="22"/>
          <w:szCs w:val="22"/>
        </w:rPr>
        <w:t xml:space="preserve">Agents communicate through three patterns:</w:t>
      </w:r>
    </w:p>
    <w:p>
      <w:pPr>
        <w:pStyle w:val="ListParagraph"/>
        <w:numPr>
          <w:ilvl w:val="0"/>
          <w:numId w:val="2"/>
        </w:numPr>
        <w:spacing w:before="40" w:after="40"/>
      </w:pPr>
      <w:r>
        <w:rPr>
          <w:rFonts w:ascii="Arial" w:cs="Arial" w:eastAsia="Arial" w:hAnsi="Arial"/>
          <w:b/>
          <w:bCs/>
          <w:color w:val="0D7377"/>
          <w:sz w:val="21"/>
          <w:szCs w:val="21"/>
        </w:rPr>
        <w:t xml:space="preserve">Event-driven: </w:t>
      </w:r>
      <w:r>
        <w:rPr>
          <w:rFonts w:ascii="Arial" w:cs="Arial" w:eastAsia="Arial" w:hAnsi="Arial"/>
          <w:color w:val="1E293B"/>
          <w:sz w:val="21"/>
          <w:szCs w:val="21"/>
        </w:rPr>
        <w:t xml:space="preserve">An agent publishes an event (e.g., 'high_risk_patient_detected') to the event bus; subscribing agents react immediately.</w:t>
      </w:r>
    </w:p>
    <w:p>
      <w:pPr>
        <w:pStyle w:val="ListParagraph"/>
        <w:numPr>
          <w:ilvl w:val="0"/>
          <w:numId w:val="2"/>
        </w:numPr>
        <w:spacing w:before="40" w:after="40"/>
      </w:pPr>
      <w:r>
        <w:rPr>
          <w:rFonts w:ascii="Arial" w:cs="Arial" w:eastAsia="Arial" w:hAnsi="Arial"/>
          <w:b/>
          <w:bCs/>
          <w:color w:val="0D7377"/>
          <w:sz w:val="21"/>
          <w:szCs w:val="21"/>
        </w:rPr>
        <w:t xml:space="preserve">Request-Response: </w:t>
      </w:r>
      <w:r>
        <w:rPr>
          <w:rFonts w:ascii="Arial" w:cs="Arial" w:eastAsia="Arial" w:hAnsi="Arial"/>
          <w:color w:val="1E293B"/>
          <w:sz w:val="21"/>
          <w:szCs w:val="21"/>
        </w:rPr>
        <w:t xml:space="preserve">One agent calls another's internal API endpoint synchronously (e.g., Triage Agent requests risk score from Risk Prediction Agent).</w:t>
      </w:r>
    </w:p>
    <w:p>
      <w:pPr>
        <w:pStyle w:val="ListParagraph"/>
        <w:numPr>
          <w:ilvl w:val="0"/>
          <w:numId w:val="2"/>
        </w:numPr>
        <w:spacing w:before="40" w:after="40"/>
      </w:pPr>
      <w:r>
        <w:rPr>
          <w:rFonts w:ascii="Arial" w:cs="Arial" w:eastAsia="Arial" w:hAnsi="Arial"/>
          <w:b/>
          <w:bCs/>
          <w:color w:val="0D7377"/>
          <w:sz w:val="21"/>
          <w:szCs w:val="21"/>
        </w:rPr>
        <w:t xml:space="preserve">Shared Memory: </w:t>
      </w:r>
      <w:r>
        <w:rPr>
          <w:rFonts w:ascii="Arial" w:cs="Arial" w:eastAsia="Arial" w:hAnsi="Arial"/>
          <w:color w:val="1E293B"/>
          <w:sz w:val="21"/>
          <w:szCs w:val="21"/>
        </w:rPr>
        <w:t xml:space="preserve">All agents read/write a Patient Context Object stored in Redis — a live, structured JSON document representing the patient's current state.</w:t>
      </w:r>
    </w:p>
    <w:p>
      <w:pPr>
        <w:spacing w:before="120" w:after="0"/>
      </w:pPr>
    </w:p>
    <w:p>
      <w:pPr>
        <w:pStyle w:val="Heading2"/>
        <w:pBdr>
          <w:bottom w:val="single" w:color="0D7377" w:sz="4" w:space="2"/>
        </w:pBdr>
        <w:spacing w:before="320" w:after="120"/>
      </w:pPr>
      <w:r>
        <w:rPr>
          <w:rFonts w:ascii="Arial" w:cs="Arial" w:eastAsia="Arial" w:hAnsi="Arial"/>
          <w:b/>
          <w:bCs/>
          <w:color w:val="0D7377"/>
          <w:sz w:val="28"/>
          <w:szCs w:val="28"/>
        </w:rPr>
        <w:t xml:space="preserve">Orchestrator Agent — The Master Controller</w:t>
      </w:r>
    </w:p>
    <w:p>
      <w:pPr>
        <w:spacing w:before="60" w:after="100"/>
      </w:pPr>
      <w:r>
        <w:rPr>
          <w:rFonts w:ascii="Arial" w:cs="Arial" w:eastAsia="Arial" w:hAnsi="Arial"/>
          <w:color w:val="1E293B"/>
          <w:sz w:val="22"/>
          <w:szCs w:val="22"/>
        </w:rPr>
        <w:t xml:space="preserve">A dedicated Orchestrator Agent sits above all others. It receives all incoming triggers (new patient, vital alert, appointment request, doctor query) and decides which agents to invoke, in what order, and how to combine their outputs. It maintains a global task queue and retry logic.</w:t>
      </w:r>
    </w:p>
    <w:p>
      <w:pPr>
        <w:spacing w:before="200" w:after="0"/>
      </w:pPr>
    </w:p>
    <w:p>
      <w:pPr>
        <w:pStyle w:val="Heading1"/>
        <w:spacing w:before="400" w:after="160"/>
      </w:pPr>
      <w:r>
        <w:rPr>
          <w:rFonts w:ascii="Arial" w:cs="Arial" w:eastAsia="Arial" w:hAnsi="Arial"/>
          <w:b/>
          <w:bCs/>
          <w:color w:val="0B1D51"/>
          <w:sz w:val="36"/>
          <w:szCs w:val="36"/>
        </w:rPr>
        <w:t xml:space="preserve">The 12 AI Agents — Detailed Specifications</w:t>
      </w:r>
    </w:p>
    <w:p>
      <w:pPr>
        <w:spacing w:before="60" w:after="100"/>
      </w:pPr>
      <w:r>
        <w:rPr>
          <w:rFonts w:ascii="Arial" w:cs="Arial" w:eastAsia="Arial" w:hAnsi="Arial"/>
          <w:color w:val="1E293B"/>
          <w:sz w:val="22"/>
          <w:szCs w:val="22"/>
        </w:rPr>
        <w:t xml:space="preserve">Each agent specification below details: purpose, inputs, outputs, tools used, inter-agent connections, recommended tech stack, and the system prompt design hint for its LLM core.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01</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Symptom Triage Agent</w:t>
            </w:r>
          </w:p>
          <w:p>
            <w:pPr>
              <w:spacing w:before="40"/>
            </w:pPr>
            <w:r>
              <w:rPr>
                <w:rFonts w:ascii="Arial" w:cs="Arial" w:eastAsia="Arial" w:hAnsi="Arial"/>
                <w:color w:val="94A3B8"/>
                <w:sz w:val="20"/>
                <w:szCs w:val="20"/>
              </w:rPr>
              <w:t xml:space="preserve">Classify patient-reported symptoms into urgency tiers; generate self-care advice or escalation triggers.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symptom text (free-form or structured form)  |  Duration, severity scores (1–10)  |  Age, known conditions, current medications from EHR Agent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Urgency tier: Emergency | Urgent | Routine | Self-care  |  Triage summary text  |  Recommended next action  |  Event published: triage_result</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(GPT-4o / Claude 3.5 Sonnet) with medical RAG  •  OpenFDA drug interaction API  •  ICD-10 code lookup  •  WHO symptom severity guidelines (vector store)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Orchestrator (triage_result event)  →  → Appointment Prioritisation Agent (severity score)  →  → EHR Agent (log triage)  →  → Alert Agent (if Emergency tier)</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FastAPI microservice | LangChain RAG pipeline | Pinecone vector DB | Redis pub/sub</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clinical triage AI assistant. Given patient-reported symptoms, you must classify urgency using validated triage protocols (ESI / MTS). Always consider age, comorbidities, and red-flag symptoms. Never diagnose — only classify urgency and recommend actions. Output structured JSON with: urgency_tier, reasoning, recommended_action, icd10_hints.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02</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Appointment Prioritisation Agent</w:t>
            </w:r>
          </w:p>
          <w:p>
            <w:pPr>
              <w:spacing w:before="40"/>
            </w:pPr>
            <w:r>
              <w:rPr>
                <w:rFonts w:ascii="Arial" w:cs="Arial" w:eastAsia="Arial" w:hAnsi="Arial"/>
                <w:color w:val="94A3B8"/>
                <w:sz w:val="20"/>
                <w:szCs w:val="20"/>
              </w:rPr>
              <w:t xml:space="preserve">Dynamically schedule and re-order appointment queues, balancing clinical urgency with resource availability.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Triage severity score from Agent 1  |  Doctor availability calendar  |  Current queue state  |  Patient waiting time  |  Room/resource availability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Scheduled slot (datetime, doctor, room)  |  Queue re-ordering list  |  Estimated wait time for each patient  |  Event: appointment_scheduled</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Google Calendar API / HL7 FHIR Scheduling  •  Custom priority queue algorithm (weighted scoring)  •  LLM for edge-case reasoning (conflicts, no-shows)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Triage Agent (severity score)  →  → Patient Notification Agent (slot confirmation)  →  → EHR Agent (write appointment)  →  → Doctor Dashboard</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OR-Tools (constraint optimisation) | FHIR R4 Scheduling resource | PostgreSQL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clinical scheduling optimiser. Given a set of patients with severity scores, waiting times, and doctor availability slots, produce an optimal schedule that minimises risk to high-severity patients while fairly distributing load. Explain each scheduling decision.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03</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Continuous Monitoring Agent</w:t>
            </w:r>
          </w:p>
          <w:p>
            <w:pPr>
              <w:spacing w:before="40"/>
            </w:pPr>
            <w:r>
              <w:rPr>
                <w:rFonts w:ascii="Arial" w:cs="Arial" w:eastAsia="Arial" w:hAnsi="Arial"/>
                <w:color w:val="94A3B8"/>
                <w:sz w:val="20"/>
                <w:szCs w:val="20"/>
              </w:rPr>
              <w:t xml:space="preserve">Ingest real-time patient vitals (IoT devices, manual inputs) and detect abnormal trends; trigger alerts.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Vital streams: HR, BP, SpO2, Temp, RR, Blood Glucose  |  Patient IoT device data (MQTT / HL7 messages)  |  Medication schedule from EHR Agent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Vital status: Normal | Warning | Critical  |  Trend analysis report  |  Alert events when threshold breached  |  Medication adherence flag</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MQTT broker (Mosquitto / AWS IoT Core)  •  InfluxDB time-series queries  •  Statistical anomaly detection (Z-score, CUSUM)  •  LLM for narrative trend summary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Alert Agent (on Critical status)  →  → Risk Prediction Agent (vital trends as features)  →  → EHR Agent (log readings)  →  → Doctor Dashboard (real-time WebSocket push)</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InfluxDB | Kafka / AWS Kinesis | Grafana (display) | Scipy (anomaly detection)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clinical vital signs monitoring AI. Analyse the following time-series vitals data for patient [ID]. Identify any deteriorating trends, classify current status (Normal/Warning/Critical), and provide a concise clinical narrative summary for the attending physician. Cite specific values that triggered concern.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04</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Predictive Risk Analytics Agent</w:t>
            </w:r>
          </w:p>
          <w:p>
            <w:pPr>
              <w:spacing w:before="40"/>
            </w:pPr>
            <w:r>
              <w:rPr>
                <w:rFonts w:ascii="Arial" w:cs="Arial" w:eastAsia="Arial" w:hAnsi="Arial"/>
                <w:color w:val="94A3B8"/>
                <w:sz w:val="20"/>
                <w:szCs w:val="20"/>
              </w:rPr>
              <w:t xml:space="preserve">Predict deterioration risk, readmission probability, complication likelihood, and emergency events using ML + LLM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Complete patient history from EHR Agent  |  Vital trends from Monitoring Agent  |  Lab results, medications, comorbidities  |  Demographic data</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scores: Deterioration %, Readmission %, Emergency %  |  Top contributing risk factors (SHAP values)  |  Recommended intervention  |  Risk tier: Low | Medium | High | Critical</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Trained gradient-boost ML model (XGBoost / LightGBM)  •  SHAP explainability library  •  LLM for natural-language risk narrative  •  PubMed RAG for evidence-based intervention suggestions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Monitoring Agent (vital features)  →  ← EHR Agent (history features)  →  → Doctor Decision Support Agent (risk context)  →  → Alert Agent (if Critical risk)  →  → Population Analytics Agent (aggregate stats)</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Scikit-learn / XGBoost | SHAP | MLflow (model registry) | FastAPI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clinical risk prediction AI. Given the following patient profile and risk scores computed by the ML model, generate a clinically meaningful explanation of the top 3 risk factors, their evidence basis, and specific early intervention recommendations. Use SBAR format (Situation, Background, Assessment, Recommendation).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05</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Doctor Decision Support Agent</w:t>
            </w:r>
          </w:p>
          <w:p>
            <w:pPr>
              <w:spacing w:before="40"/>
            </w:pPr>
            <w:r>
              <w:rPr>
                <w:rFonts w:ascii="Arial" w:cs="Arial" w:eastAsia="Arial" w:hAnsi="Arial"/>
                <w:color w:val="94A3B8"/>
                <w:sz w:val="20"/>
                <w:szCs w:val="20"/>
              </w:rPr>
              <w:t xml:space="preserve">Provide differential diagnoses, recommended investigations, treatment guidelines, and drug interaction alerts at the point of care.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Chief complaint and triage summary  |  Full EHR snapshot  |  Lab results, imaging reports  |  Current medications list  |  Risk scores from Agent 4</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Differential diagnosis list (ranked by probability)  |  Recommended investigations (tests, imaging)  |  Evidence-based treatment options  |  Drug-drug / drug-condition interaction alerts  |  Clinical guideline citations</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with medical knowledge + RAG over clinical guidelines (NICE, WHO, UpToDate snippets)  •  OpenFDA drug interaction API  •  SNOMED-CT / ICD-10 terminology lookup  •  Lab reference range database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Triage Agent (chief complaint)  →  ← EHR Agent (patient context)  →  ← Risk Agent (risk scores)  →  → EHR Agent (write suggested plan)  →  → Doctor Dashboard (real-time)</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LangChain | Pinecone (medical guideline embeddings) | OpenFDA API | PostgreSQL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an AI clinical decision support tool. Given the patient's profile, suggest ranked differential diagnoses with reasoning, recommended investigations, and first-line treatment options based on current clinical guidelines. Always flag drug interactions. Prefix every response with 'For physician review only — not a substitute for clinical judgement.'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06</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Smart EHR Agent</w:t>
            </w:r>
          </w:p>
          <w:p>
            <w:pPr>
              <w:spacing w:before="40"/>
            </w:pPr>
            <w:r>
              <w:rPr>
                <w:rFonts w:ascii="Arial" w:cs="Arial" w:eastAsia="Arial" w:hAnsi="Arial"/>
                <w:color w:val="94A3B8"/>
                <w:sz w:val="20"/>
                <w:szCs w:val="20"/>
              </w:rPr>
              <w:t xml:space="preserve">Serve as the central data access layer — read, write, and summarise patient electronic health records for all other agents.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ID lookup requests from any agent  |  New data to store (vitals, prescriptions, notes, lab results)  |  Query parameters (date ranges, record types)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Structured patient context JSON (demographics, history, meds, labs)  |  AI-generated clinical summary (1-paragraph)  |  Audit log entry for every access</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FHIR R4 API (read/write)  •  PostgreSQL / MongoDB  •  LLM for summarisation  •  OCR pipeline (Tesseract / AWS Textract) for imaging reports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agents read from / write to EHR Agent  →  → Population Analytics Agent (de-identified data)  →  → Doctor Dashboard (full record view)</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HL7 FHIR R4 | PostgreSQL | MongoDB | AWS Textract | Redis (cache)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medical record summarisation AI. Given the following patient record extract, produce a concise, structured clinical summary covering: (1) key diagnoses, (2) current medications with dosing, (3) recent investigations and results, (4) active problems list, (5) allergies and alerts. Use clinical shorthand where appropriate.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07</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Medication &amp; Treatment Management Agent</w:t>
            </w:r>
          </w:p>
          <w:p>
            <w:pPr>
              <w:spacing w:before="40"/>
            </w:pPr>
            <w:r>
              <w:rPr>
                <w:rFonts w:ascii="Arial" w:cs="Arial" w:eastAsia="Arial" w:hAnsi="Arial"/>
                <w:color w:val="94A3B8"/>
                <w:sz w:val="20"/>
                <w:szCs w:val="20"/>
              </w:rPr>
              <w:t xml:space="preserve">Track prescriptions, detect adherence gaps, flag side effects, and trigger refill reminders.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prescription list from EHR  |  Patient-reported adherence (app check-ins)  |  Side effect reports from patient or vitals anomalies  |  Pharmacy stock data (optional)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Adherence score (0–100%) per medication  |  Side-effect risk flags  |  Refill reminder events  |  Dose adjustment recommendations for physician review</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OpenFDA adverse events API  •  Custom adherence ML model  •  LLM for patient-friendly medication instructions  •  SMS / Push notification API (Twilio / Firebase)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EHR Agent (prescription list)  →  → Alert Agent (missed critical medication)  →  → Patient Notification Agent (reminders)  →  → Doctor Decision Support Agent (adherence context)</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OpenFDA API | Twilio | Firebase Cloud Messaging | PostgreSQL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medication management AI. Given the patient's prescription list and reported adherence data, identify: (1) any missed critical doses, (2) potential adverse effects based on current vitals, (3) drugs approaching refill threshold. Generate patient-friendly reminder messages in plain language.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08</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Conversational Health Assistant Agent</w:t>
            </w:r>
          </w:p>
          <w:p>
            <w:pPr>
              <w:spacing w:before="40"/>
            </w:pPr>
            <w:r>
              <w:rPr>
                <w:rFonts w:ascii="Arial" w:cs="Arial" w:eastAsia="Arial" w:hAnsi="Arial"/>
                <w:color w:val="94A3B8"/>
                <w:sz w:val="20"/>
                <w:szCs w:val="20"/>
              </w:rPr>
              <w:t xml:space="preserve">Provide 24/7 natural-language health guidance to patients — triaging queries, answering FAQs, and escalating when necessary.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natural-language message (text / voice)  |  Patient language preference  |  Current patient record summary from EHR Agent  |  Chat history (last 20 turns)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Conversational response in patient's language  |  Intent classification (FAQ | Symptom query | Appointment request | Emergency)  |  Escalation event if emergency language detected  |  Appointment booking initiation</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(multilingual: GPT-4o with language detection)  •  Translation API (DeepL / Google Translate)  •  Whisper STT for voice input  •  LangChain memory for conversation continuity</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Orchestrator (escalation events)  →  → Appointment Agent (if booking intent)  →  → Alert Agent (if emergency keywords)  →  → EHR Agent (log interaction)</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LangChain | OpenAI Whisper | DeepL API | FastAPI WebSocket | React (chat UI)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ClinicAI, a compassionate and knowledgeable health assistant for patients of [Clinic Name]. You help patients understand their symptoms, book appointments, and answer health questions. You must: always recommend professional consultation for clinical matters, detect emergency language and immediately escalate, respond in the patient's preferred language, and be warm and reassuring in tone.</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09</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Population Health Analytics Agent</w:t>
            </w:r>
          </w:p>
          <w:p>
            <w:pPr>
              <w:spacing w:before="40"/>
            </w:pPr>
            <w:r>
              <w:rPr>
                <w:rFonts w:ascii="Arial" w:cs="Arial" w:eastAsia="Arial" w:hAnsi="Arial"/>
                <w:color w:val="94A3B8"/>
                <w:sz w:val="20"/>
                <w:szCs w:val="20"/>
              </w:rPr>
              <w:t xml:space="preserve">Aggregate de-identified patient data to surface disease trends, high-risk group identification, resource utilisation, and outcomes reporting.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De-identified patient records from EHR Agent (batch)  |  Appointment and outcome data  |  Date range / cohort filter parameters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Disease incidence dashboards  |  High-risk group reports  |  Treatment outcome statistics  |  Resource utilisation metrics  |  Exportable PDF/Excel reports for funding</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Apache Spark / Pandas for batch analytics  •  Plotly / Chart.js for visualisations  •  LLM for narrative insights generation  •  Power BI / Metabase embedding (optional)</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EHR Agent (de-identified data export)  →  ← Risk Agent (aggregate risk scores)  →  → Clinic Admin Dashboard  →  → External reporting APIs (government / insurance)</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Pandas | Apache Spark | Plotly | PostgreSQL | FastAPI | LLM for insight narratives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public health analytics AI. Given the following aggregated, de-identified clinic data for period [X], identify: (1) top 5 disease trends by incidence, (2) demographic groups with highest risk scores, (3) treatment outcome improvements or regressions, (4) resource bottlenecks. Present findings as an executive briefing.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10</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Emergency Alert Agent</w:t>
            </w:r>
          </w:p>
          <w:p>
            <w:pPr>
              <w:spacing w:before="40"/>
            </w:pPr>
            <w:r>
              <w:rPr>
                <w:rFonts w:ascii="Arial" w:cs="Arial" w:eastAsia="Arial" w:hAnsi="Arial"/>
                <w:color w:val="94A3B8"/>
                <w:sz w:val="20"/>
                <w:szCs w:val="20"/>
              </w:rPr>
              <w:t xml:space="preserve">Act as the platform's real-time alarm system — detecting critical events across all agents and routing notifications to the right people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 events from Monitoring Agent (critical vitals)  |  Emergency tier flags from Triage Agent  |  Critical risk scores from Risk Prediction Agent  |  Emergency language detection from Conversational Agent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Push notifications to on-duty doctor (mobile + dashboard)  |  Dashboard red-flag panel update  |  SMS/call escalation if doctor unacknowledged within 2 min  |  Ambulance / emergency services recommendation</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Cloud Messaging / APNs (push)  •  Twilio (SMS + voice call)  •  WebSocket (dashboard real-time)  •  Escalation timer logic</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Monitoring Agent  →  ← Triage Agent  →  ← Risk Agent  →  ← Conversational Agent  →  → Doctor Dashboard  →  → Patient Notification Agent  →  → EHR Agent (log alert)</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Redis (alert state) | Twilio | Firebase | WebSocket | Celery (escalation timers)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an emergency alert coordinator AI. Given the following critical patient event, generate: (1) a concise alert message for the attending physician (max 50 words), (2) a patient-facing calm and clear message, (3) recommended immediate actions in priority order. Mark severity as: URGENT (respond in 10 min) or CRITICAL (respond immediately).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11</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Security &amp; Privacy Compliance Agent</w:t>
            </w:r>
          </w:p>
          <w:p>
            <w:pPr>
              <w:spacing w:before="40"/>
            </w:pPr>
            <w:r>
              <w:rPr>
                <w:rFonts w:ascii="Arial" w:cs="Arial" w:eastAsia="Arial" w:hAnsi="Arial"/>
                <w:color w:val="94A3B8"/>
                <w:sz w:val="20"/>
                <w:szCs w:val="20"/>
              </w:rPr>
              <w:t xml:space="preserve">Enforce role-based access, audit all data access, detect anomalies, and ensure HIPAA/GDPR compliance continuously.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API request (user ID, role, resource accessed)  |  Agent-to-agent data transfer metadata  |  User authentication events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Access granted / denied decision  |  Audit log entry (immutable)  |  Anomaly alert (unusual access patterns)  |  Compliance report (periodic)</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OAuth 2.0 / JWT validation  •  AES-256 encryption at rest  •  TLS 1.3 in transit  •  ML anomaly detection on access patterns  •  GDPR consent management module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agents route through Security Agent's middleware  →  → Clinic Admin (compliance reports)  →  → Audit database (immutable ledger)</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Keycloak (IAM) | PostgreSQL (audit log) | HashiCorp Vault (secrets) | Pandas (anomaly detection)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healthcare data compliance AI. Review the following access log entry and determine: (1) whether access is within the user's role permissions, (2) whether the access pattern is anomalous compared to baseline, (3) any HIPAA/GDPR compliance concerns. Flag any violations with severity level.</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vAlign w:val="center"/>
          </w:tcPr>
          <w:p>
            <w:pPr>
              <w:jc w:val="center"/>
            </w:pPr>
            <w:r>
              <w:rPr>
                <w:rFonts w:ascii="Arial" w:cs="Arial" w:eastAsia="Arial" w:hAnsi="Arial"/>
                <w:b/>
                <w:bCs/>
                <w:color w:val="FFFFFF"/>
                <w:sz w:val="36"/>
                <w:szCs w:val="36"/>
              </w:rPr>
              <w:t xml:space="preserve">12</w:t>
            </w:r>
          </w:p>
        </w:tc>
        <w:tc>
          <w:tcPr>
            <w:tcW w:type="dxa" w:w="8760"/>
            <w:tcBorders>
              <w:top w:val="none" w:color="FFFFFF" w:sz="0"/>
              <w:left w:val="none" w:color="FFFFFF" w:sz="0"/>
              <w:bottom w:val="none" w:color="FFFFFF" w:sz="0"/>
              <w:right w:val="none" w:color="FFFFFF" w:sz="0"/>
            </w:tcBorders>
            <w:shd w:fill="0B1D51" w:val="clear"/>
            <w:tcMar>
              <w:top w:type="dxa" w:w="120"/>
              <w:left w:type="dxa" w:w="200"/>
              <w:bottom w:type="dxa" w:w="120"/>
              <w:right w:type="dxa" w:w="120"/>
            </w:tcMar>
          </w:tcPr>
          <w:p>
            <w:r>
              <w:rPr>
                <w:rFonts w:ascii="Arial" w:cs="Arial" w:eastAsia="Arial" w:hAnsi="Arial"/>
                <w:b/>
                <w:bCs/>
                <w:color w:val="FFFFFF"/>
                <w:sz w:val="28"/>
                <w:szCs w:val="28"/>
              </w:rPr>
              <w:t xml:space="preserve">📲  Patient Notification &amp; Portal Agent</w:t>
            </w:r>
          </w:p>
          <w:p>
            <w:pPr>
              <w:spacing w:before="40"/>
            </w:pPr>
            <w:r>
              <w:rPr>
                <w:rFonts w:ascii="Arial" w:cs="Arial" w:eastAsia="Arial" w:hAnsi="Arial"/>
                <w:color w:val="94A3B8"/>
                <w:sz w:val="20"/>
                <w:szCs w:val="20"/>
              </w:rPr>
              <w:t xml:space="preserve">Manage all outbound patient communications — appointment confirmations, report delivery, chat relay, and personalised health nudges.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Inputs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Appointment events from Agent 2  |  Lab result availability from EHR Agent  |  Medication reminders from Agent 7  |  Alert escalations from Agent 10  |  Patient portal actions (requests, messages)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Outputs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Multi-channel notifications (push, SMS, email, in-app)  |  Patient portal content updates  |  Chat relay between patient and clinic staff  |  Delivery status tracking</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Tools / APIs</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Firebase / APNs (push)  •  Twilio (SMS)  •  SendGrid / AWS SES (email)  •  WebSocket (in-app chat)  •  React / Flutter (portal UI)</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Connects To</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Appointment Agent  →  ← EHR Agent  →  ← Medication Agent  →  ← Alert Agent  →  → Patient mobile app / web portal</w:t>
            </w:r>
          </w:p>
        </w:tc>
      </w:tr>
      <w:tr>
        <w:tc>
          <w:tcPr>
            <w:tcW w:type="dxa" w:w="20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Tech Stack</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 FastAPI | Twilio | Firebase | SendGrid | React (Patient Portal) | Flutter (mobile)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7377"/>
                <w:sz w:val="20"/>
                <w:szCs w:val="20"/>
              </w:rPr>
              <w:t xml:space="preserve">LLM System Prompt Hint</w:t>
            </w:r>
          </w:p>
        </w:tc>
        <w:tc>
          <w:tcPr>
            <w:tcW w:type="dxa" w:w="7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You are a patient communication AI for [Clinic Name]. Given the following event, generate a personalised, warm, and clear notification for the patient. Adapt the tone: urgent events should be calm but clear, routine notifications should be friendly. Always include a clear call-to-action and contact information.</w:t>
            </w:r>
          </w:p>
        </w:tc>
      </w:tr>
    </w:tbl>
    <w:p>
      <w:pPr>
        <w:spacing w:before="120" w:after="0"/>
      </w:pPr>
    </w:p>
    <w:p>
      <w:pPr>
        <w:pStyle w:val="Heading1"/>
        <w:spacing w:before="400" w:after="160"/>
      </w:pPr>
      <w:r>
        <w:rPr>
          <w:rFonts w:ascii="Arial" w:cs="Arial" w:eastAsia="Arial" w:hAnsi="Arial"/>
          <w:b/>
          <w:bCs/>
          <w:color w:val="0B1D51"/>
          <w:sz w:val="36"/>
          <w:szCs w:val="36"/>
        </w:rPr>
        <w:t xml:space="preserve">Agent Interaction Flow</w:t>
      </w:r>
    </w:p>
    <w:p>
      <w:pPr>
        <w:pStyle w:val="Heading2"/>
        <w:pBdr>
          <w:bottom w:val="single" w:color="0D7377" w:sz="4" w:space="2"/>
        </w:pBdr>
        <w:spacing w:before="320" w:after="120"/>
      </w:pPr>
      <w:r>
        <w:rPr>
          <w:rFonts w:ascii="Arial" w:cs="Arial" w:eastAsia="Arial" w:hAnsi="Arial"/>
          <w:b/>
          <w:bCs/>
          <w:color w:val="0D7377"/>
          <w:sz w:val="28"/>
          <w:szCs w:val="28"/>
        </w:rPr>
        <w:t xml:space="preserve">Scenario 1 — New Patient Symptom Submission</w:t>
      </w:r>
    </w:p>
    <w:p>
      <w:pPr>
        <w:spacing w:before="60" w:after="100"/>
      </w:pPr>
      <w:r>
        <w:rPr>
          <w:rFonts w:ascii="Arial" w:cs="Arial" w:eastAsia="Arial" w:hAnsi="Arial"/>
          <w:color w:val="1E293B"/>
          <w:sz w:val="22"/>
          <w:szCs w:val="22"/>
        </w:rPr>
        <w:t xml:space="preserve">A complete walk-through of how agents collaborate when a patient submits symptoms: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1</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enters symptoms in portal → Patient Portal Agent (12) receives input and calls Orchestrator</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2</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Orchestrator invokes Triage Agent (1) with symptom text + EHR summary from EHR Agent (6)</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3</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Triage Agent returns urgency tier → if Emergency, immediately triggers Alert Agent (10)</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4</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Orchestrator passes severity score to Appointment Agent (2) → optimal slot scheduled</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5</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EHR Agent (6) logs triage result and appointment to patient record</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6</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Patient Notification Agent (12) sends confirmation to patient</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7</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Urgent/Emergency: Decision Support Agent (5) pre-loads differential for assigned doctor</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8</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Agent (4) runs baseline risk score and adds to patient context</w:t>
            </w:r>
          </w:p>
        </w:tc>
      </w:tr>
    </w:tbl>
    <w:p>
      <w:pPr>
        <w:spacing w:before="160" w:after="0"/>
      </w:pPr>
    </w:p>
    <w:p>
      <w:pPr>
        <w:pStyle w:val="Heading2"/>
        <w:pBdr>
          <w:bottom w:val="single" w:color="0D7377" w:sz="4" w:space="2"/>
        </w:pBdr>
        <w:spacing w:before="320" w:after="120"/>
      </w:pPr>
      <w:r>
        <w:rPr>
          <w:rFonts w:ascii="Arial" w:cs="Arial" w:eastAsia="Arial" w:hAnsi="Arial"/>
          <w:b/>
          <w:bCs/>
          <w:color w:val="0D7377"/>
          <w:sz w:val="28"/>
          <w:szCs w:val="28"/>
        </w:rPr>
        <w:t xml:space="preserve">Scenario 2 — Chronic Patient Monitoring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1</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IoT device sends vitals → Monitoring Agent (3) detects SpO2 drop below threshold</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2</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Monitoring Agent publishes critical_vital event → Alert Agent (10) activates</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3</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Alert Agent sends push + SMS to on-duty doctor; starts 2-min acknowledgement timer</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4</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Prediction Agent (4) re-scores patient with latest vitals</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5</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Decision Support Agent (5) prepares intervention options for doctor</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6</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EHR Agent (6) logs event; Monitoring Agent continues tracking at 10-sec intervals</w:t>
            </w:r>
          </w:p>
        </w:tc>
      </w:tr>
      <w:tr>
        <w:tc>
          <w:tcPr>
            <w:tcW w:type="dxa" w:w="15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D7377"/>
                <w:sz w:val="20"/>
                <w:szCs w:val="20"/>
              </w:rPr>
              <w:t xml:space="preserve">Step 7</w:t>
            </w:r>
          </w:p>
        </w:tc>
        <w:tc>
          <w:tcPr>
            <w:tcW w:type="dxa" w:w="7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If doctor unacknowledged in 2 min → Alert Agent escalates to senior staff + suggests ambulance</w:t>
            </w:r>
          </w:p>
        </w:tc>
      </w:tr>
    </w:tbl>
    <w:p>
      <w:pPr>
        <w:spacing w:before="200" w:after="0"/>
      </w:pPr>
    </w:p>
    <w:p>
      <w:pPr>
        <w:pStyle w:val="Heading1"/>
        <w:spacing w:before="400" w:after="160"/>
      </w:pPr>
      <w:r>
        <w:rPr>
          <w:rFonts w:ascii="Arial" w:cs="Arial" w:eastAsia="Arial" w:hAnsi="Arial"/>
          <w:b/>
          <w:bCs/>
          <w:color w:val="0B1D51"/>
          <w:sz w:val="36"/>
          <w:szCs w:val="36"/>
        </w:rPr>
        <w:t xml:space="preserve">Full Technology Stack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8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Technology Choices</w:t>
            </w:r>
          </w:p>
        </w:tc>
        <w:tc>
          <w:tcPr>
            <w:tcW w:type="dxa" w:w="348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LLM Core</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GPT-4o / Claude 3.5 Sonnet (via API)</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Reasoning, NLP, summarisation, decision support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Agent Framework</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LangChain / LangGraph / CrewAI</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Agent orchestration, tool use, memory, RAG</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API Layer</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Python FastAPI + WebSocket</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Real-time agent APIs, streaming responses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Primary DB</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PostgreSQL (FHIR schema)</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Structured EHR, appointments, audit logs</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Document DB</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MongoDB</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Lab reports, imaging metadata, notes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Time-series DB</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InfluxDB</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Vital signs, IoT device streams</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Vector DB</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Pinecone / Weaviate</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Medical guideline embeddings for RAG</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Cache / Pub-Sub</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Redis + Redis Streams</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Patient context cache, event bus</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Message Queue</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RabbitMQ / AWS SQS</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Async agent-to-agent messaging</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IoT Ingestion</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MQTT (Mosquitto / AWS IoT Core)</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Medical device vital streams</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ML Models</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XGBoost / LightGBM + Scikit-learn</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Risk prediction, anomaly detection</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MLOps</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MLflow + Seldon Core</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Model registry, versioning, serving</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Notifications</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Twilio + Firebase + SendGrid</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SMS, push, email to patients/doctors</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Frontend</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React (Web) + Flutter (Mobile)</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Doctor dashboard, patient portal</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Infrastructure</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AWS / Azure + Docker + Kubernetes</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Scalable, HIPAA-compliant deployment</w:t>
            </w:r>
          </w:p>
        </w:tc>
      </w:tr>
      <w:tr>
        <w:tc>
          <w:tcPr>
            <w:tcW w:type="dxa" w:w="220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b/>
                <w:bCs/>
                <w:color w:val="0D7377"/>
                <w:sz w:val="19"/>
                <w:szCs w:val="19"/>
              </w:rPr>
              <w:t xml:space="preserve">Auth &amp; Security</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Keycloak + HashiCorp Vault</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OAuth2/OIDC, secrets management</w:t>
            </w:r>
          </w:p>
        </w:tc>
      </w:tr>
      <w:tr>
        <w:tc>
          <w:tcPr>
            <w:tcW w:type="dxa" w:w="2200"/>
            <w:tcBorders>
              <w:top w:val="single" w:color="E2E8F0" w:sz="1"/>
              <w:left w:val="single" w:color="E2E8F0" w:sz="1"/>
              <w:bottom w:val="single" w:color="E2E8F0" w:sz="1"/>
              <w:right w:val="single" w:color="E2E8F0" w:sz="1"/>
            </w:tcBorders>
            <w:shd w:fill="E6F4F1" w:val="clear"/>
            <w:tcMar>
              <w:top w:type="dxa" w:w="70"/>
              <w:left w:type="dxa" w:w="120"/>
              <w:bottom w:type="dxa" w:w="70"/>
              <w:right w:type="dxa" w:w="120"/>
            </w:tcMar>
          </w:tcPr>
          <w:p>
            <w:r>
              <w:rPr>
                <w:rFonts w:ascii="Arial" w:cs="Arial" w:eastAsia="Arial" w:hAnsi="Arial"/>
                <w:b/>
                <w:bCs/>
                <w:color w:val="0D7377"/>
                <w:sz w:val="19"/>
                <w:szCs w:val="19"/>
              </w:rPr>
              <w:t xml:space="preserve">Observability</w:t>
            </w:r>
          </w:p>
        </w:tc>
        <w:tc>
          <w:tcPr>
            <w:tcW w:type="dxa" w:w="36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1E293B"/>
                <w:sz w:val="19"/>
                <w:szCs w:val="19"/>
              </w:rPr>
              <w:t xml:space="preserve">Prometheus + Grafana + ELK Stack</w:t>
            </w:r>
          </w:p>
        </w:tc>
        <w:tc>
          <w:tcPr>
            <w:tcW w:type="dxa" w:w="3480"/>
            <w:tcBorders>
              <w:top w:val="single" w:color="E2E8F0" w:sz="1"/>
              <w:left w:val="single" w:color="E2E8F0" w:sz="1"/>
              <w:bottom w:val="single" w:color="E2E8F0" w:sz="1"/>
              <w:right w:val="single" w:color="E2E8F0" w:sz="1"/>
            </w:tcBorders>
            <w:shd w:fill="FFFFFF" w:val="clear"/>
            <w:tcMar>
              <w:top w:type="dxa" w:w="70"/>
              <w:left w:type="dxa" w:w="120"/>
              <w:bottom w:type="dxa" w:w="70"/>
              <w:right w:type="dxa" w:w="120"/>
            </w:tcMar>
          </w:tcPr>
          <w:p>
            <w:r>
              <w:rPr>
                <w:rFonts w:ascii="Arial" w:cs="Arial" w:eastAsia="Arial" w:hAnsi="Arial"/>
                <w:color w:val="475569"/>
                <w:sz w:val="19"/>
                <w:szCs w:val="19"/>
              </w:rPr>
              <w:t xml:space="preserve">Monitoring, logging, alerting</w:t>
            </w:r>
          </w:p>
        </w:tc>
      </w:tr>
    </w:tbl>
    <w:p>
      <w:pPr>
        <w:spacing w:before="200" w:after="0"/>
      </w:pPr>
    </w:p>
    <w:p>
      <w:pPr>
        <w:pStyle w:val="Heading1"/>
        <w:spacing w:before="400" w:after="160"/>
      </w:pPr>
      <w:r>
        <w:rPr>
          <w:rFonts w:ascii="Arial" w:cs="Arial" w:eastAsia="Arial" w:hAnsi="Arial"/>
          <w:b/>
          <w:bCs/>
          <w:color w:val="0B1D51"/>
          <w:sz w:val="36"/>
          <w:szCs w:val="36"/>
        </w:rPr>
        <w:t xml:space="preserve">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56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200"/>
            <w:tcBorders>
              <w:top w:val="single" w:color="0B1D51" w:sz="1"/>
              <w:left w:val="single" w:color="0B1D51" w:sz="1"/>
              <w:bottom w:val="single" w:color="0B1D51" w:sz="1"/>
              <w:right w:val="single" w:color="0B1D51" w:sz="1"/>
            </w:tcBorders>
            <w:shd w:fill="0B1D51" w:val="clear"/>
            <w:tcMar>
              <w:top w:type="dxa" w:w="80"/>
              <w:left w:type="dxa" w:w="120"/>
              <w:bottom w:type="dxa" w:w="80"/>
              <w:right w:type="dxa" w:w="120"/>
            </w:tcMar>
          </w:tcPr>
          <w:p>
            <w:r>
              <w:rPr>
                <w:rFonts w:ascii="Arial" w:cs="Arial" w:eastAsia="Arial" w:hAnsi="Arial"/>
                <w:b/>
                <w:bCs/>
                <w:color w:val="FFFFFF"/>
                <w:sz w:val="20"/>
                <w:szCs w:val="20"/>
              </w:rPr>
              <w:t xml:space="preserve">Agents Active</w:t>
            </w:r>
          </w:p>
        </w:tc>
      </w:tr>
      <w:tr>
        <w:tc>
          <w:tcPr>
            <w:tcW w:type="dxa" w:w="14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Phase 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1–2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Requirements finalisation, FHIR schema design, cloud infra provisioning, team setup</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None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Phase 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3–6</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EHR Agent (6), Security Agent (11), Orchestrator — core data foundation</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Agents 6, 11</w:t>
            </w:r>
          </w:p>
        </w:tc>
      </w:tr>
      <w:tr>
        <w:tc>
          <w:tcPr>
            <w:tcW w:type="dxa" w:w="14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Phase 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7–10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Triage Agent (1), Appointment Agent (2), Patient Portal Agent (12)</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Agents 1, 2, 6, 11, 12</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Phase 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11–14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Monitoring Agent (3), Alert Agent (10), Medication Agent (7)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Agents 3, 7, 10 + all prior</w:t>
            </w:r>
          </w:p>
        </w:tc>
      </w:tr>
      <w:tr>
        <w:tc>
          <w:tcPr>
            <w:tcW w:type="dxa" w:w="14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Phase 4</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15–18</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Prediction Agent (4) + ML model training, Decision Support Agent (5)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agents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D7377"/>
                <w:sz w:val="20"/>
                <w:szCs w:val="20"/>
              </w:rPr>
              <w:t xml:space="preserve">Phase 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19–20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Conversational Agent (8), Population Analytics Agent (9), multilingual tuning</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12 agents</w:t>
            </w:r>
          </w:p>
        </w:tc>
      </w:tr>
      <w:tr>
        <w:tc>
          <w:tcPr>
            <w:tcW w:type="dxa" w:w="1400"/>
            <w:tcBorders>
              <w:top w:val="single" w:color="E2E8F0" w:sz="1"/>
              <w:left w:val="single" w:color="E2E8F0" w:sz="1"/>
              <w:bottom w:val="single" w:color="E2E8F0" w:sz="1"/>
              <w:right w:val="single" w:color="E2E8F0" w:sz="1"/>
            </w:tcBorders>
            <w:shd w:fill="E6F4F1" w:val="clear"/>
            <w:tcMar>
              <w:top w:type="dxa" w:w="80"/>
              <w:left w:type="dxa" w:w="120"/>
              <w:bottom w:type="dxa" w:w="80"/>
              <w:right w:type="dxa" w:w="120"/>
            </w:tcMar>
          </w:tcPr>
          <w:p>
            <w:r>
              <w:rPr>
                <w:rFonts w:ascii="Arial" w:cs="Arial" w:eastAsia="Arial" w:hAnsi="Arial"/>
                <w:b/>
                <w:bCs/>
                <w:color w:val="0D7377"/>
                <w:sz w:val="20"/>
                <w:szCs w:val="20"/>
              </w:rPr>
              <w:t xml:space="preserve">Phase 6</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Weeks 21–24</w:t>
            </w:r>
          </w:p>
        </w:tc>
        <w:tc>
          <w:tcPr>
            <w:tcW w:type="dxa" w:w="3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Clinical pilot, UAT, security audit, HIPAA compliance review, go-live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12 agents</w:t>
            </w:r>
          </w:p>
        </w:tc>
      </w:tr>
    </w:tbl>
    <w:p>
      <w:pPr>
        <w:spacing w:before="200" w:after="0"/>
      </w:pPr>
    </w:p>
    <w:p>
      <w:pPr>
        <w:pStyle w:val="Heading1"/>
        <w:spacing w:before="400" w:after="160"/>
      </w:pPr>
      <w:r>
        <w:rPr>
          <w:rFonts w:ascii="Arial" w:cs="Arial" w:eastAsia="Arial" w:hAnsi="Arial"/>
          <w:b/>
          <w:bCs/>
          <w:color w:val="0B1D51"/>
          <w:sz w:val="36"/>
          <w:szCs w:val="36"/>
        </w:rPr>
        <w:t xml:space="preserve">Data Flow &amp; Privacy Architecture</w:t>
      </w:r>
    </w:p>
    <w:p>
      <w:pPr>
        <w:pStyle w:val="Heading2"/>
        <w:pBdr>
          <w:bottom w:val="single" w:color="0D7377" w:sz="4" w:space="2"/>
        </w:pBdr>
        <w:spacing w:before="320" w:after="120"/>
      </w:pPr>
      <w:r>
        <w:rPr>
          <w:rFonts w:ascii="Arial" w:cs="Arial" w:eastAsia="Arial" w:hAnsi="Arial"/>
          <w:b/>
          <w:bCs/>
          <w:color w:val="0D7377"/>
          <w:sz w:val="28"/>
          <w:szCs w:val="28"/>
        </w:rPr>
        <w:t xml:space="preserve">Patient Data Lifecycle</w:t>
      </w:r>
    </w:p>
    <w:p>
      <w:pPr>
        <w:pStyle w:val="ListParagraph"/>
        <w:numPr>
          <w:ilvl w:val="0"/>
          <w:numId w:val="2"/>
        </w:numPr>
        <w:spacing w:before="40" w:after="40"/>
      </w:pPr>
      <w:r>
        <w:rPr>
          <w:rFonts w:ascii="Arial" w:cs="Arial" w:eastAsia="Arial" w:hAnsi="Arial"/>
          <w:b/>
          <w:bCs/>
          <w:color w:val="0D7377"/>
          <w:sz w:val="21"/>
          <w:szCs w:val="21"/>
        </w:rPr>
        <w:t xml:space="preserve">Collection: </w:t>
      </w:r>
      <w:r>
        <w:rPr>
          <w:rFonts w:ascii="Arial" w:cs="Arial" w:eastAsia="Arial" w:hAnsi="Arial"/>
          <w:color w:val="1E293B"/>
          <w:sz w:val="21"/>
          <w:szCs w:val="21"/>
        </w:rPr>
        <w:t xml:space="preserve">Patients input data via portal; IoT devices stream vitals; clinical staff enter notes — all routed through Security Agent middleware.</w:t>
      </w:r>
    </w:p>
    <w:p>
      <w:pPr>
        <w:pStyle w:val="ListParagraph"/>
        <w:numPr>
          <w:ilvl w:val="0"/>
          <w:numId w:val="2"/>
        </w:numPr>
        <w:spacing w:before="40" w:after="40"/>
      </w:pPr>
      <w:r>
        <w:rPr>
          <w:rFonts w:ascii="Arial" w:cs="Arial" w:eastAsia="Arial" w:hAnsi="Arial"/>
          <w:b/>
          <w:bCs/>
          <w:color w:val="0D7377"/>
          <w:sz w:val="21"/>
          <w:szCs w:val="21"/>
        </w:rPr>
        <w:t xml:space="preserve">Storage: </w:t>
      </w:r>
      <w:r>
        <w:rPr>
          <w:rFonts w:ascii="Arial" w:cs="Arial" w:eastAsia="Arial" w:hAnsi="Arial"/>
          <w:color w:val="1E293B"/>
          <w:sz w:val="21"/>
          <w:szCs w:val="21"/>
        </w:rPr>
        <w:t xml:space="preserve">Encrypted at rest (AES-256). PII stored in PostgreSQL with field-level encryption. Raw vitals in InfluxDB with retention policies.</w:t>
      </w:r>
    </w:p>
    <w:p>
      <w:pPr>
        <w:pStyle w:val="ListParagraph"/>
        <w:numPr>
          <w:ilvl w:val="0"/>
          <w:numId w:val="2"/>
        </w:numPr>
        <w:spacing w:before="40" w:after="40"/>
      </w:pPr>
      <w:r>
        <w:rPr>
          <w:rFonts w:ascii="Arial" w:cs="Arial" w:eastAsia="Arial" w:hAnsi="Arial"/>
          <w:b/>
          <w:bCs/>
          <w:color w:val="0D7377"/>
          <w:sz w:val="21"/>
          <w:szCs w:val="21"/>
        </w:rPr>
        <w:t xml:space="preserve">Access: </w:t>
      </w:r>
      <w:r>
        <w:rPr>
          <w:rFonts w:ascii="Arial" w:cs="Arial" w:eastAsia="Arial" w:hAnsi="Arial"/>
          <w:color w:val="1E293B"/>
          <w:sz w:val="21"/>
          <w:szCs w:val="21"/>
        </w:rPr>
        <w:t xml:space="preserve">Role-gated via Keycloak. Doctors see their patients only. Admins see aggregate data. Agents access via service accounts with least-privilege.</w:t>
      </w:r>
    </w:p>
    <w:p>
      <w:pPr>
        <w:pStyle w:val="ListParagraph"/>
        <w:numPr>
          <w:ilvl w:val="0"/>
          <w:numId w:val="2"/>
        </w:numPr>
        <w:spacing w:before="40" w:after="40"/>
      </w:pPr>
      <w:r>
        <w:rPr>
          <w:rFonts w:ascii="Arial" w:cs="Arial" w:eastAsia="Arial" w:hAnsi="Arial"/>
          <w:b/>
          <w:bCs/>
          <w:color w:val="0D7377"/>
          <w:sz w:val="21"/>
          <w:szCs w:val="21"/>
        </w:rPr>
        <w:t xml:space="preserve">Sharing: </w:t>
      </w:r>
      <w:r>
        <w:rPr>
          <w:rFonts w:ascii="Arial" w:cs="Arial" w:eastAsia="Arial" w:hAnsi="Arial"/>
          <w:color w:val="1E293B"/>
          <w:sz w:val="21"/>
          <w:szCs w:val="21"/>
        </w:rPr>
        <w:t xml:space="preserve">Population Analytics Agent only ever receives de-identified, aggregated data (k-anonymity ≥ 5).</w:t>
      </w:r>
    </w:p>
    <w:p>
      <w:pPr>
        <w:pStyle w:val="ListParagraph"/>
        <w:numPr>
          <w:ilvl w:val="0"/>
          <w:numId w:val="2"/>
        </w:numPr>
        <w:spacing w:before="40" w:after="40"/>
      </w:pPr>
      <w:r>
        <w:rPr>
          <w:rFonts w:ascii="Arial" w:cs="Arial" w:eastAsia="Arial" w:hAnsi="Arial"/>
          <w:b/>
          <w:bCs/>
          <w:color w:val="0D7377"/>
          <w:sz w:val="21"/>
          <w:szCs w:val="21"/>
        </w:rPr>
        <w:t xml:space="preserve">Deletion: </w:t>
      </w:r>
      <w:r>
        <w:rPr>
          <w:rFonts w:ascii="Arial" w:cs="Arial" w:eastAsia="Arial" w:hAnsi="Arial"/>
          <w:color w:val="1E293B"/>
          <w:sz w:val="21"/>
          <w:szCs w:val="21"/>
        </w:rPr>
        <w:t xml:space="preserve">Patient right-to-erasure supported — cascading delete across all stores with audit trail preserved (anonymised).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DC2626" w:val="clear"/>
            <w:tcMar>
              <w:top w:type="dxa" w:w="100"/>
              <w:left w:type="dxa" w:w="160"/>
              <w:bottom w:type="dxa" w:w="100"/>
              <w:right w:type="dxa" w:w="160"/>
            </w:tcMar>
          </w:tcPr>
          <w:p>
            <w:r>
              <w:rPr>
                <w:rFonts w:ascii="Arial" w:cs="Arial" w:eastAsia="Arial" w:hAnsi="Arial"/>
                <w:b/>
                <w:bCs/>
                <w:color w:val="FFFFFF"/>
                <w:sz w:val="22"/>
                <w:szCs w:val="22"/>
              </w:rPr>
              <w:t xml:space="preserve">Security Standards Checklist</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TLS 1.3 for all data in transit</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AES-256 encryption at rest</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OAuth 2.0 / OIDC authentication</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Role-based access control (RBAC)</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Immutable audit log for every record access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HIPAA Business Associate Agreement (BAA) with cloud providers</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GDPR Article 25 — Privacy by Design</w:t>
            </w:r>
          </w:p>
        </w:tc>
      </w:tr>
      <w:tr>
        <w:tc>
          <w:tcPr>
            <w:tcW w:type="dxa" w:w="9360"/>
            <w:tcBorders>
              <w:top w:val="single" w:color="DC2626" w:sz="1"/>
              <w:left w:val="single" w:color="DC2626" w:sz="1"/>
              <w:bottom w:val="single" w:color="DC2626" w:sz="1"/>
              <w:right w:val="single" w:color="DC2626" w:sz="1"/>
            </w:tcBorders>
            <w:shd w:fill="FEE2E2" w:val="clear"/>
            <w:tcMar>
              <w:top w:type="dxa" w:w="60"/>
              <w:left w:type="dxa" w:w="160"/>
              <w:bottom w:type="dxa" w:w="60"/>
              <w:right w:type="dxa" w:w="160"/>
            </w:tcMar>
          </w:tcPr>
          <w:p>
            <w:r>
              <w:rPr>
                <w:rFonts w:ascii="Arial" w:cs="Arial" w:eastAsia="Arial" w:hAnsi="Arial"/>
                <w:color w:val="1E293B"/>
                <w:sz w:val="20"/>
                <w:szCs w:val="20"/>
              </w:rPr>
              <w:t xml:space="preserve">  ✅  Regular penetration testing schedule</w:t>
            </w:r>
          </w:p>
        </w:tc>
      </w:tr>
    </w:tbl>
    <w:p>
      <w:pPr>
        <w:spacing w:before="200" w:after="0"/>
      </w:pPr>
    </w:p>
    <w:p>
      <w:pPr>
        <w:pStyle w:val="Heading1"/>
        <w:spacing w:before="400" w:after="160"/>
      </w:pPr>
      <w:r>
        <w:rPr>
          <w:rFonts w:ascii="Arial" w:cs="Arial" w:eastAsia="Arial" w:hAnsi="Arial"/>
          <w:b/>
          <w:bCs/>
          <w:color w:val="0B1D51"/>
          <w:sz w:val="36"/>
          <w:szCs w:val="36"/>
        </w:rPr>
        <w:t xml:space="preserve">Getting Started — Build Sequence</w:t>
      </w:r>
    </w:p>
    <w:p>
      <w:pPr>
        <w:pStyle w:val="Heading2"/>
        <w:pBdr>
          <w:bottom w:val="single" w:color="0D7377" w:sz="4" w:space="2"/>
        </w:pBdr>
        <w:spacing w:before="320" w:after="120"/>
      </w:pPr>
      <w:r>
        <w:rPr>
          <w:rFonts w:ascii="Arial" w:cs="Arial" w:eastAsia="Arial" w:hAnsi="Arial"/>
          <w:b/>
          <w:bCs/>
          <w:color w:val="0D7377"/>
          <w:sz w:val="28"/>
          <w:szCs w:val="28"/>
        </w:rPr>
        <w:t xml:space="preserve">Step 1 — Foundation (Month 1)</w:t>
      </w:r>
    </w:p>
    <w:p>
      <w:pPr>
        <w:spacing w:before="60" w:after="100"/>
      </w:pPr>
      <w:r>
        <w:rPr>
          <w:rFonts w:ascii="Arial" w:cs="Arial" w:eastAsia="Arial" w:hAnsi="Arial"/>
          <w:color w:val="1E293B"/>
          <w:sz w:val="22"/>
          <w:szCs w:val="22"/>
        </w:rPr>
        <w:t xml:space="preserve">Set up your monorepo structure, provision cloud infrastructure, and deploy the EHR Agent and Security Agent first. These are the foundation every other agent depends on.</w:t>
      </w:r>
    </w:p>
    <w:p>
      <w:pPr>
        <w:pStyle w:val="ListParagraph"/>
        <w:numPr>
          <w:ilvl w:val="0"/>
          <w:numId w:val="2"/>
        </w:numPr>
        <w:spacing w:before="40" w:after="40"/>
      </w:pPr>
      <w:r>
        <w:rPr>
          <w:rFonts w:ascii="Arial" w:cs="Arial" w:eastAsia="Arial" w:hAnsi="Arial"/>
          <w:color w:val="1E293B"/>
          <w:sz w:val="21"/>
          <w:szCs w:val="21"/>
        </w:rPr>
        <w:t xml:space="preserve">Create monorepo: /agents, /api-gateway, /frontend, /ml-models, /infra</w:t>
      </w:r>
    </w:p>
    <w:p>
      <w:pPr>
        <w:pStyle w:val="ListParagraph"/>
        <w:numPr>
          <w:ilvl w:val="0"/>
          <w:numId w:val="2"/>
        </w:numPr>
        <w:spacing w:before="40" w:after="40"/>
      </w:pPr>
      <w:r>
        <w:rPr>
          <w:rFonts w:ascii="Arial" w:cs="Arial" w:eastAsia="Arial" w:hAnsi="Arial"/>
          <w:color w:val="1E293B"/>
          <w:sz w:val="21"/>
          <w:szCs w:val="21"/>
        </w:rPr>
        <w:t xml:space="preserve">Provision: PostgreSQL (FHIR schema), MongoDB, Redis, InfluxDB on AWS/Azure</w:t>
      </w:r>
    </w:p>
    <w:p>
      <w:pPr>
        <w:pStyle w:val="ListParagraph"/>
        <w:numPr>
          <w:ilvl w:val="0"/>
          <w:numId w:val="2"/>
        </w:numPr>
        <w:spacing w:before="40" w:after="40"/>
      </w:pPr>
      <w:r>
        <w:rPr>
          <w:rFonts w:ascii="Arial" w:cs="Arial" w:eastAsia="Arial" w:hAnsi="Arial"/>
          <w:color w:val="1E293B"/>
          <w:sz w:val="21"/>
          <w:szCs w:val="21"/>
        </w:rPr>
        <w:t xml:space="preserve">Deploy Keycloak for identity management; configure roles: patient, doctor, nurse, admin</w:t>
      </w:r>
    </w:p>
    <w:p>
      <w:pPr>
        <w:pStyle w:val="ListParagraph"/>
        <w:numPr>
          <w:ilvl w:val="0"/>
          <w:numId w:val="2"/>
        </w:numPr>
        <w:spacing w:before="40" w:after="40"/>
      </w:pPr>
      <w:r>
        <w:rPr>
          <w:rFonts w:ascii="Arial" w:cs="Arial" w:eastAsia="Arial" w:hAnsi="Arial"/>
          <w:color w:val="1E293B"/>
          <w:sz w:val="21"/>
          <w:szCs w:val="21"/>
        </w:rPr>
        <w:t xml:space="preserve">Implement EHR Agent (Agent 6) with FHIR R4 endpoints</w:t>
      </w:r>
    </w:p>
    <w:p>
      <w:pPr>
        <w:pStyle w:val="ListParagraph"/>
        <w:numPr>
          <w:ilvl w:val="0"/>
          <w:numId w:val="2"/>
        </w:numPr>
        <w:spacing w:before="40" w:after="40"/>
      </w:pPr>
      <w:r>
        <w:rPr>
          <w:rFonts w:ascii="Arial" w:cs="Arial" w:eastAsia="Arial" w:hAnsi="Arial"/>
          <w:color w:val="1E293B"/>
          <w:sz w:val="21"/>
          <w:szCs w:val="21"/>
        </w:rPr>
        <w:t xml:space="preserve">Implement Security Agent (Agent 11) as API middleware</w:t>
      </w:r>
    </w:p>
    <w:p>
      <w:pPr>
        <w:spacing w:before="80" w:after="0"/>
      </w:pPr>
    </w:p>
    <w:p>
      <w:pPr>
        <w:pStyle w:val="Heading2"/>
        <w:pBdr>
          <w:bottom w:val="single" w:color="0D7377" w:sz="4" w:space="2"/>
        </w:pBdr>
        <w:spacing w:before="320" w:after="120"/>
      </w:pPr>
      <w:r>
        <w:rPr>
          <w:rFonts w:ascii="Arial" w:cs="Arial" w:eastAsia="Arial" w:hAnsi="Arial"/>
          <w:b/>
          <w:bCs/>
          <w:color w:val="0D7377"/>
          <w:sz w:val="28"/>
          <w:szCs w:val="28"/>
        </w:rPr>
        <w:t xml:space="preserve">Step 2 — Patient-Facing Core (Month 2)</w:t>
      </w:r>
    </w:p>
    <w:p>
      <w:pPr>
        <w:pStyle w:val="ListParagraph"/>
        <w:numPr>
          <w:ilvl w:val="0"/>
          <w:numId w:val="2"/>
        </w:numPr>
        <w:spacing w:before="40" w:after="40"/>
      </w:pPr>
      <w:r>
        <w:rPr>
          <w:rFonts w:ascii="Arial" w:cs="Arial" w:eastAsia="Arial" w:hAnsi="Arial"/>
          <w:color w:val="1E293B"/>
          <w:sz w:val="21"/>
          <w:szCs w:val="21"/>
        </w:rPr>
        <w:t xml:space="preserve">Build Triage Agent (Agent 1): LangChain RAG pipeline over medical guidelines</w:t>
      </w:r>
    </w:p>
    <w:p>
      <w:pPr>
        <w:pStyle w:val="ListParagraph"/>
        <w:numPr>
          <w:ilvl w:val="0"/>
          <w:numId w:val="2"/>
        </w:numPr>
        <w:spacing w:before="40" w:after="40"/>
      </w:pPr>
      <w:r>
        <w:rPr>
          <w:rFonts w:ascii="Arial" w:cs="Arial" w:eastAsia="Arial" w:hAnsi="Arial"/>
          <w:color w:val="1E293B"/>
          <w:sz w:val="21"/>
          <w:szCs w:val="21"/>
        </w:rPr>
        <w:t xml:space="preserve">Build Appointment Agent (Agent 2): priority queue + FHIR scheduling</w:t>
      </w:r>
    </w:p>
    <w:p>
      <w:pPr>
        <w:pStyle w:val="ListParagraph"/>
        <w:numPr>
          <w:ilvl w:val="0"/>
          <w:numId w:val="2"/>
        </w:numPr>
        <w:spacing w:before="40" w:after="40"/>
      </w:pPr>
      <w:r>
        <w:rPr>
          <w:rFonts w:ascii="Arial" w:cs="Arial" w:eastAsia="Arial" w:hAnsi="Arial"/>
          <w:color w:val="1E293B"/>
          <w:sz w:val="21"/>
          <w:szCs w:val="21"/>
        </w:rPr>
        <w:t xml:space="preserve">Build Patient Portal (React/Flutter) consuming Agent 12</w:t>
      </w:r>
    </w:p>
    <w:p>
      <w:pPr>
        <w:pStyle w:val="ListParagraph"/>
        <w:numPr>
          <w:ilvl w:val="0"/>
          <w:numId w:val="2"/>
        </w:numPr>
        <w:spacing w:before="40" w:after="40"/>
      </w:pPr>
      <w:r>
        <w:rPr>
          <w:rFonts w:ascii="Arial" w:cs="Arial" w:eastAsia="Arial" w:hAnsi="Arial"/>
          <w:color w:val="1E293B"/>
          <w:sz w:val="21"/>
          <w:szCs w:val="21"/>
        </w:rPr>
        <w:t xml:space="preserve">Connect event bus: Redis Streams for agent-to-agent events</w:t>
      </w:r>
    </w:p>
    <w:p>
      <w:pPr>
        <w:spacing w:before="80" w:after="0"/>
      </w:pPr>
    </w:p>
    <w:p>
      <w:pPr>
        <w:pStyle w:val="Heading2"/>
        <w:pBdr>
          <w:bottom w:val="single" w:color="0D7377" w:sz="4" w:space="2"/>
        </w:pBdr>
        <w:spacing w:before="320" w:after="120"/>
      </w:pPr>
      <w:r>
        <w:rPr>
          <w:rFonts w:ascii="Arial" w:cs="Arial" w:eastAsia="Arial" w:hAnsi="Arial"/>
          <w:b/>
          <w:bCs/>
          <w:color w:val="0D7377"/>
          <w:sz w:val="28"/>
          <w:szCs w:val="28"/>
        </w:rPr>
        <w:t xml:space="preserve">Step 3 — Clinical Intelligence (Month 3)</w:t>
      </w:r>
    </w:p>
    <w:p>
      <w:pPr>
        <w:pStyle w:val="ListParagraph"/>
        <w:numPr>
          <w:ilvl w:val="0"/>
          <w:numId w:val="2"/>
        </w:numPr>
        <w:spacing w:before="40" w:after="40"/>
      </w:pPr>
      <w:r>
        <w:rPr>
          <w:rFonts w:ascii="Arial" w:cs="Arial" w:eastAsia="Arial" w:hAnsi="Arial"/>
          <w:color w:val="1E293B"/>
          <w:sz w:val="21"/>
          <w:szCs w:val="21"/>
        </w:rPr>
        <w:t xml:space="preserve">Train risk prediction ML model on synthetic / de-identified clinic data (Agent 4)</w:t>
      </w:r>
    </w:p>
    <w:p>
      <w:pPr>
        <w:pStyle w:val="ListParagraph"/>
        <w:numPr>
          <w:ilvl w:val="0"/>
          <w:numId w:val="2"/>
        </w:numPr>
        <w:spacing w:before="40" w:after="40"/>
      </w:pPr>
      <w:r>
        <w:rPr>
          <w:rFonts w:ascii="Arial" w:cs="Arial" w:eastAsia="Arial" w:hAnsi="Arial"/>
          <w:color w:val="1E293B"/>
          <w:sz w:val="21"/>
          <w:szCs w:val="21"/>
        </w:rPr>
        <w:t xml:space="preserve">Build Decision Support Agent (Agent 5) with RAG over clinical guidelines</w:t>
      </w:r>
    </w:p>
    <w:p>
      <w:pPr>
        <w:pStyle w:val="ListParagraph"/>
        <w:numPr>
          <w:ilvl w:val="0"/>
          <w:numId w:val="2"/>
        </w:numPr>
        <w:spacing w:before="40" w:after="40"/>
      </w:pPr>
      <w:r>
        <w:rPr>
          <w:rFonts w:ascii="Arial" w:cs="Arial" w:eastAsia="Arial" w:hAnsi="Arial"/>
          <w:color w:val="1E293B"/>
          <w:sz w:val="21"/>
          <w:szCs w:val="21"/>
        </w:rPr>
        <w:t xml:space="preserve">Deploy Monitoring Agent (Agent 3) with MQTT ingestion pipeline</w:t>
      </w:r>
    </w:p>
    <w:p>
      <w:pPr>
        <w:pStyle w:val="ListParagraph"/>
        <w:numPr>
          <w:ilvl w:val="0"/>
          <w:numId w:val="2"/>
        </w:numPr>
        <w:spacing w:before="40" w:after="40"/>
      </w:pPr>
      <w:r>
        <w:rPr>
          <w:rFonts w:ascii="Arial" w:cs="Arial" w:eastAsia="Arial" w:hAnsi="Arial"/>
          <w:color w:val="1E293B"/>
          <w:sz w:val="21"/>
          <w:szCs w:val="21"/>
        </w:rPr>
        <w:t xml:space="preserve">Deploy Alert Agent (Agent 10) with Twilio + Firebase integrations</w:t>
      </w:r>
    </w:p>
    <w:p>
      <w:pPr>
        <w:spacing w:before="80" w:after="0"/>
      </w:pPr>
    </w:p>
    <w:p>
      <w:pPr>
        <w:pStyle w:val="Heading2"/>
        <w:pBdr>
          <w:bottom w:val="single" w:color="0D7377" w:sz="4" w:space="2"/>
        </w:pBdr>
        <w:spacing w:before="320" w:after="120"/>
      </w:pPr>
      <w:r>
        <w:rPr>
          <w:rFonts w:ascii="Arial" w:cs="Arial" w:eastAsia="Arial" w:hAnsi="Arial"/>
          <w:b/>
          <w:bCs/>
          <w:color w:val="0D7377"/>
          <w:sz w:val="28"/>
          <w:szCs w:val="28"/>
        </w:rPr>
        <w:t xml:space="preserve">Step 4 — Advanced Features (Month 4)</w:t>
      </w:r>
    </w:p>
    <w:p>
      <w:pPr>
        <w:pStyle w:val="ListParagraph"/>
        <w:numPr>
          <w:ilvl w:val="0"/>
          <w:numId w:val="2"/>
        </w:numPr>
        <w:spacing w:before="40" w:after="40"/>
      </w:pPr>
      <w:r>
        <w:rPr>
          <w:rFonts w:ascii="Arial" w:cs="Arial" w:eastAsia="Arial" w:hAnsi="Arial"/>
          <w:color w:val="1E293B"/>
          <w:sz w:val="21"/>
          <w:szCs w:val="21"/>
        </w:rPr>
        <w:t xml:space="preserve">Build Conversational Agent (Agent 8) with multilingual support</w:t>
      </w:r>
    </w:p>
    <w:p>
      <w:pPr>
        <w:pStyle w:val="ListParagraph"/>
        <w:numPr>
          <w:ilvl w:val="0"/>
          <w:numId w:val="2"/>
        </w:numPr>
        <w:spacing w:before="40" w:after="40"/>
      </w:pPr>
      <w:r>
        <w:rPr>
          <w:rFonts w:ascii="Arial" w:cs="Arial" w:eastAsia="Arial" w:hAnsi="Arial"/>
          <w:color w:val="1E293B"/>
          <w:sz w:val="21"/>
          <w:szCs w:val="21"/>
        </w:rPr>
        <w:t xml:space="preserve">Build Population Analytics Agent (Agent 9) with Plotly dashboards</w:t>
      </w:r>
    </w:p>
    <w:p>
      <w:pPr>
        <w:pStyle w:val="ListParagraph"/>
        <w:numPr>
          <w:ilvl w:val="0"/>
          <w:numId w:val="2"/>
        </w:numPr>
        <w:spacing w:before="40" w:after="40"/>
      </w:pPr>
      <w:r>
        <w:rPr>
          <w:rFonts w:ascii="Arial" w:cs="Arial" w:eastAsia="Arial" w:hAnsi="Arial"/>
          <w:color w:val="1E293B"/>
          <w:sz w:val="21"/>
          <w:szCs w:val="21"/>
        </w:rPr>
        <w:t xml:space="preserve">Integrate Medication Agent (Agent 7) with OpenFDA adverse events</w:t>
      </w:r>
    </w:p>
    <w:p>
      <w:pPr>
        <w:pStyle w:val="ListParagraph"/>
        <w:numPr>
          <w:ilvl w:val="0"/>
          <w:numId w:val="2"/>
        </w:numPr>
        <w:spacing w:before="40" w:after="40"/>
      </w:pPr>
      <w:r>
        <w:rPr>
          <w:rFonts w:ascii="Arial" w:cs="Arial" w:eastAsia="Arial" w:hAnsi="Arial"/>
          <w:color w:val="1E293B"/>
          <w:sz w:val="21"/>
          <w:szCs w:val="21"/>
        </w:rPr>
        <w:t xml:space="preserve">End-to-end integration testing across all 12 agents</w:t>
      </w:r>
    </w:p>
    <w:p>
      <w:pPr>
        <w:spacing w:before="80" w:after="0"/>
      </w:pPr>
    </w:p>
    <w:p>
      <w:pPr>
        <w:pStyle w:val="Heading2"/>
        <w:pBdr>
          <w:bottom w:val="single" w:color="0D7377" w:sz="4" w:space="2"/>
        </w:pBdr>
        <w:spacing w:before="320" w:after="120"/>
      </w:pPr>
      <w:r>
        <w:rPr>
          <w:rFonts w:ascii="Arial" w:cs="Arial" w:eastAsia="Arial" w:hAnsi="Arial"/>
          <w:b/>
          <w:bCs/>
          <w:color w:val="0D7377"/>
          <w:sz w:val="28"/>
          <w:szCs w:val="28"/>
        </w:rPr>
        <w:t xml:space="preserve">Step 5 — Pilot &amp; Go-Live (Month 5–6)</w:t>
      </w:r>
    </w:p>
    <w:p>
      <w:pPr>
        <w:pStyle w:val="ListParagraph"/>
        <w:numPr>
          <w:ilvl w:val="0"/>
          <w:numId w:val="2"/>
        </w:numPr>
        <w:spacing w:before="40" w:after="40"/>
      </w:pPr>
      <w:r>
        <w:rPr>
          <w:rFonts w:ascii="Arial" w:cs="Arial" w:eastAsia="Arial" w:hAnsi="Arial"/>
          <w:color w:val="1E293B"/>
          <w:sz w:val="21"/>
          <w:szCs w:val="21"/>
        </w:rPr>
        <w:t xml:space="preserve">Run closed clinical pilot with 1 clinic, 3 doctors, controlled patient cohort</w:t>
      </w:r>
    </w:p>
    <w:p>
      <w:pPr>
        <w:pStyle w:val="ListParagraph"/>
        <w:numPr>
          <w:ilvl w:val="0"/>
          <w:numId w:val="2"/>
        </w:numPr>
        <w:spacing w:before="40" w:after="40"/>
      </w:pPr>
      <w:r>
        <w:rPr>
          <w:rFonts w:ascii="Arial" w:cs="Arial" w:eastAsia="Arial" w:hAnsi="Arial"/>
          <w:color w:val="1E293B"/>
          <w:sz w:val="21"/>
          <w:szCs w:val="21"/>
        </w:rPr>
        <w:t xml:space="preserve">Collect clinician feedback; iterate on decision support prompts and triage accuracy</w:t>
      </w:r>
    </w:p>
    <w:p>
      <w:pPr>
        <w:pStyle w:val="ListParagraph"/>
        <w:numPr>
          <w:ilvl w:val="0"/>
          <w:numId w:val="2"/>
        </w:numPr>
        <w:spacing w:before="40" w:after="40"/>
      </w:pPr>
      <w:r>
        <w:rPr>
          <w:rFonts w:ascii="Arial" w:cs="Arial" w:eastAsia="Arial" w:hAnsi="Arial"/>
          <w:color w:val="1E293B"/>
          <w:sz w:val="21"/>
          <w:szCs w:val="21"/>
        </w:rPr>
        <w:t xml:space="preserve">Complete HIPAA security audit with external assessor</w:t>
      </w:r>
    </w:p>
    <w:p>
      <w:pPr>
        <w:pStyle w:val="ListParagraph"/>
        <w:numPr>
          <w:ilvl w:val="0"/>
          <w:numId w:val="2"/>
        </w:numPr>
        <w:spacing w:before="40" w:after="40"/>
      </w:pPr>
      <w:r>
        <w:rPr>
          <w:rFonts w:ascii="Arial" w:cs="Arial" w:eastAsia="Arial" w:hAnsi="Arial"/>
          <w:color w:val="1E293B"/>
          <w:sz w:val="21"/>
          <w:szCs w:val="21"/>
        </w:rPr>
        <w:t xml:space="preserve">Load testing: simulate 1,000 concurrent patients across all agents</w:t>
      </w:r>
    </w:p>
    <w:p>
      <w:pPr>
        <w:pStyle w:val="ListParagraph"/>
        <w:numPr>
          <w:ilvl w:val="0"/>
          <w:numId w:val="2"/>
        </w:numPr>
        <w:spacing w:before="40" w:after="40"/>
      </w:pPr>
      <w:r>
        <w:rPr>
          <w:rFonts w:ascii="Arial" w:cs="Arial" w:eastAsia="Arial" w:hAnsi="Arial"/>
          <w:color w:val="1E293B"/>
          <w:sz w:val="21"/>
          <w:szCs w:val="21"/>
        </w:rPr>
        <w:t xml:space="preserve">Go-live with monitoring dashboards and on-call support</w:t>
      </w:r>
    </w:p>
    <w:p>
      <w:pPr>
        <w:spacing w:before="200" w:after="0"/>
      </w:pPr>
    </w:p>
    <w:p>
      <w:pPr>
        <w:pBdr>
          <w:bottom w:val="single" w:color="0D7377" w:sz="6" w:space="2"/>
        </w:pBdr>
        <w:spacing w:before="200" w:after="200"/>
      </w:pPr>
    </w:p>
    <w:p>
      <w:pPr>
        <w:spacing w:before="200" w:after="80"/>
        <w:jc w:val="center"/>
      </w:pPr>
      <w:r>
        <w:rPr>
          <w:rFonts w:ascii="Arial" w:cs="Arial" w:eastAsia="Arial" w:hAnsi="Arial"/>
          <w:b/>
          <w:bCs/>
          <w:color w:val="0D7377"/>
          <w:sz w:val="24"/>
          <w:szCs w:val="24"/>
        </w:rPr>
        <w:t xml:space="preserve">ClinicAI — Built to Save Lives, Not Just Time</w:t>
      </w:r>
    </w:p>
    <w:p>
      <w:pPr>
        <w:jc w:val="center"/>
      </w:pPr>
      <w:r>
        <w:rPr>
          <w:rFonts w:ascii="Arial" w:cs="Arial" w:eastAsia="Arial" w:hAnsi="Arial"/>
          <w:color w:val="94A3B8"/>
          <w:sz w:val="20"/>
          <w:szCs w:val="20"/>
        </w:rPr>
        <w:t xml:space="preserve">12 Agents  •  1 Platform  •  Complete Patient Journey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0D7377"/>
      </w:rPr>
    </w:lvl>
  </w:abstractNum>
  <w:abstractNum w:abstractNumId="3" w15:restartNumberingAfterBreak="0">
    <w:multiLevelType w:val="hybridMultilevel"/>
    <w:lvl w:ilvl="0" w15:tentative="1">
      <w:start w:val="1"/>
      <w:numFmt w:val="bullet"/>
      <w:lvlText w:val="–"/>
      <w:lvlJc w:val="left"/>
      <w:pPr>
        <w:ind w:left="900" w:hanging="300"/>
      </w:pPr>
      <w:rPr>
        <w:rFonts w:ascii="Arial" w:cs="Arial" w:eastAsia="Arial" w:hAnsi="Arial"/>
        <w:color w:val="94A3B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B1D51"/>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B4F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2026-03-12T05:27:00.339Z</dcterms:created>
  <dcterms:modified xsi:type="dcterms:W3CDTF">2026-03-12T05:27:00.340Z</dcterms:modified>
</cp:coreProperties>
</file>

<file path=docProps/custom.xml><?xml version="1.0" encoding="utf-8"?>
<Properties xmlns="http://schemas.openxmlformats.org/officeDocument/2006/custom-properties" xmlns:vt="http://schemas.openxmlformats.org/officeDocument/2006/docPropsVTypes"/>
</file>