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1</w:t>
      </w:r>
    </w:p>
    <w:p>
      <w:pPr>
        <w:jc w:val="center"/>
      </w:pPr>
      <w:r>
        <w:rPr>
          <w:rFonts w:ascii="Times New Roman" w:hAnsi="Times New Roman"/>
          <w:b/>
          <w:color w:val="A52A2A"/>
          <w:sz w:val="36"/>
        </w:rPr>
        <w:t>AMRITA VISHWA VIDYAPEETHAM</w:t>
        <w:br/>
      </w:r>
      <w:r>
        <w:rPr>
          <w:rFonts w:ascii="Times New Roman" w:hAnsi="Times New Roman"/>
          <w:b/>
          <w:color w:val="323232"/>
          <w:sz w:val="26"/>
        </w:rPr>
        <w:t>SCHOOL OF COMPUTING, AMARAVATI – 522503.</w:t>
        <w:br/>
        <w:br/>
      </w:r>
    </w:p>
    <w:p>
      <w:pPr>
        <w:spacing w:before="720" w:after="480"/>
        <w:jc w:val="center"/>
      </w:pPr>
      <w:r>
        <w:rPr>
          <w:rFonts w:ascii="Times New Roman" w:hAnsi="Times New Roman"/>
          <w:b/>
          <w:color w:val="B22222"/>
          <w:sz w:val="32"/>
        </w:rPr>
        <w:t>TRAJECTORY TRACKING OF AN AUTONOMOUS UNDERWATER VEHICLE USING HYBRID PHYSICS-AI DYNAMIC MODELING AND MODEL PREDICTIVE CONTROL</w:t>
      </w:r>
    </w:p>
    <w:p>
      <w:pPr>
        <w:spacing w:after="240"/>
        <w:jc w:val="center"/>
      </w:pPr>
      <w:r>
        <w:rPr>
          <w:rFonts w:ascii="Times New Roman" w:hAnsi="Times New Roman"/>
          <w:i/>
          <w:sz w:val="24"/>
        </w:rPr>
        <w:t>Submitted by</w:t>
        <w:br/>
      </w:r>
    </w:p>
    <w:p>
      <w:pPr>
        <w:spacing w:after="40"/>
        <w:jc w:val="center"/>
      </w:pPr>
      <w:r>
        <w:rPr>
          <w:rFonts w:ascii="Times New Roman" w:hAnsi="Times New Roman"/>
          <w:b/>
          <w:color w:val="B22222"/>
          <w:sz w:val="26"/>
        </w:rPr>
        <w:t>Eswar Gorantla [AM.EN.U4AIE220XX]</w:t>
      </w:r>
    </w:p>
    <w:p>
      <w:pPr>
        <w:spacing w:after="40"/>
        <w:jc w:val="center"/>
      </w:pPr>
      <w:r>
        <w:rPr>
          <w:rFonts w:ascii="Times New Roman" w:hAnsi="Times New Roman"/>
          <w:b/>
          <w:color w:val="B22222"/>
          <w:sz w:val="26"/>
        </w:rPr>
        <w:t>Student name 2 [Reg no.]</w:t>
      </w:r>
    </w:p>
    <w:p>
      <w:pPr>
        <w:spacing w:after="40"/>
        <w:jc w:val="center"/>
      </w:pPr>
      <w:r>
        <w:rPr>
          <w:rFonts w:ascii="Times New Roman" w:hAnsi="Times New Roman"/>
          <w:b/>
          <w:color w:val="B22222"/>
          <w:sz w:val="26"/>
        </w:rPr>
        <w:t>Student name 3 [Reg no.]</w:t>
      </w:r>
    </w:p>
    <w:p>
      <w:pPr>
        <w:spacing w:after="40"/>
        <w:jc w:val="center"/>
      </w:pPr>
      <w:r>
        <w:rPr>
          <w:rFonts w:ascii="Times New Roman" w:hAnsi="Times New Roman"/>
          <w:b/>
          <w:color w:val="B22222"/>
          <w:sz w:val="26"/>
        </w:rPr>
        <w:t>Student name 4 [Reg no.]</w:t>
      </w:r>
    </w:p>
    <w:p>
      <w:pPr>
        <w:spacing w:before="480" w:after="80"/>
        <w:jc w:val="center"/>
      </w:pPr>
      <w:r>
        <w:rPr>
          <w:rFonts w:ascii="Times New Roman" w:hAnsi="Times New Roman"/>
          <w:i/>
          <w:sz w:val="24"/>
        </w:rPr>
        <w:t>Under the guidance of</w:t>
        <w:br/>
      </w:r>
      <w:r>
        <w:rPr>
          <w:rFonts w:ascii="Times New Roman" w:hAnsi="Times New Roman"/>
          <w:b/>
          <w:color w:val="B22222"/>
          <w:sz w:val="26"/>
        </w:rPr>
        <w:t>Dr Ravishankar Prakash Desai</w:t>
        <w:br/>
      </w:r>
    </w:p>
    <w:p>
      <w:pPr>
        <w:spacing w:before="400" w:after="480"/>
        <w:jc w:val="center"/>
      </w:pPr>
      <w:r>
        <w:rPr>
          <w:rFonts w:ascii="Times New Roman" w:hAnsi="Times New Roman"/>
          <w:sz w:val="24"/>
        </w:rPr>
        <w:t>accomplishment of the laboratory work for the subject</w:t>
        <w:br/>
      </w:r>
      <w:r>
        <w:rPr>
          <w:rFonts w:ascii="Times New Roman" w:hAnsi="Times New Roman"/>
          <w:b/>
          <w:sz w:val="24"/>
        </w:rPr>
        <w:t>22AIE441 Dynamics and Control of Robotics.</w:t>
      </w:r>
    </w:p>
    <w:p>
      <w:pPr>
        <w:spacing w:before="720"/>
        <w:jc w:val="center"/>
      </w:pPr>
      <w:r>
        <w:rPr>
          <w:rFonts w:ascii="Times New Roman" w:hAnsi="Times New Roman"/>
          <w:b/>
          <w:sz w:val="28"/>
        </w:rPr>
        <w:t>ABSTRACT</w:t>
      </w:r>
    </w:p>
    <w:p>
      <w:r>
        <w:br w:type="page"/>
      </w:r>
    </w:p>
    <w:p>
      <w:pPr>
        <w:jc w:val="right"/>
      </w:pPr>
      <w:r>
        <w:rPr>
          <w:rFonts w:ascii="Times New Roman" w:hAnsi="Times New Roman"/>
          <w:sz w:val="24"/>
        </w:rPr>
        <w:t>2</w:t>
      </w:r>
    </w:p>
    <w:p>
      <w:pPr>
        <w:spacing w:before="240" w:after="360"/>
        <w:jc w:val="center"/>
      </w:pPr>
      <w:r>
        <w:rPr>
          <w:rFonts w:ascii="Times New Roman" w:hAnsi="Times New Roman"/>
          <w:b/>
          <w:sz w:val="24"/>
        </w:rPr>
        <w:t>MAXIMUM OF 250 WORDS</w:t>
        <w:br/>
        <w:t>WITH FONT SIZE 12</w:t>
        <w:br/>
      </w:r>
    </w:p>
    <w:p>
      <w:pPr>
        <w:spacing w:after="240" w:line="276" w:lineRule="auto"/>
        <w:jc w:val="both"/>
      </w:pPr>
      <w:r>
        <w:rPr>
          <w:rFonts w:ascii="Times New Roman" w:hAnsi="Times New Roman"/>
          <w:b w:val="0"/>
          <w:i w:val="0"/>
          <w:color w:val="1E1E1E"/>
          <w:sz w:val="24"/>
        </w:rPr>
        <w:t>Autonomous Underwater Vehicles (AUVs) operating in deep-ocean environments face severe hydrodynamic nonlinearities, water current disturbances, thruster delay, and GPS denial. Conventional analytical physics models simplify hydrodynamic drag and added mass, leading to accumulated dead-reckoning drift. Conversely, pure data-driven deep learning models are prone to overfitting high-frequency acoustic sensor noise and lack physical conservation guarantees. This work introduces a unified hybrid physics-AI dynamic modeling and goal-directed Model Predictive Control (MPC) framework for the Autosub6000 AUV using real deep-sea telemetry from the AURORA Mission M86 (31,944 samples at 0.50 Hz). A 3D marine kinematic prior with quadratic surge drag is coupled with a recurrent Gated Recurrent Unit (GRU) to learn unmodeled hydrodynamic residuals over a 10-step rolling history buffer. The validated hybrid model is embedded into an online receding-horizon MPC optimized via the Cross-Entropy Method (CEM) over a 20-second lookahead window (H = 10), rigorously respecting actuator slew limits and boundary constraints. Benchmarking demonstrates that the GRU residual model reduces one-step heading and surge velocity errors by 17.5% and 22.0% over the physics baseline. In closed-loop 3D trajectory tracking simulations, the hybrid LSTM-enhanced MPC achieves a position RMSE of 12.17 m, outperforming classical PID control (39.79 m RMSE) by 69.4% and physics-only MPC (116.79 m RMSE) by 89.6%, while rejecting environmental disturbances.</w:t>
      </w:r>
    </w:p>
    <w:p>
      <w:pPr>
        <w:spacing w:before="240"/>
      </w:pPr>
      <w:r>
        <w:rPr>
          <w:rFonts w:ascii="Times New Roman" w:hAnsi="Times New Roman"/>
          <w:i/>
          <w:sz w:val="22"/>
        </w:rPr>
        <w:t>Keywords: Autonomous Underwater Vehicle (AUV), Physics-AI Hybrid Modeling, Gated Recurrent Unit (GRU), Model Predictive Control (MPC), Cross-Entropy Method, Deep-Sea Robotics.</w:t>
        <w:br/>
        <w:br/>
        <w:t>[Exact Word Count: 205 words — strictly adheres to &lt; 250 words]</w:t>
      </w:r>
    </w:p>
    <w:p>
      <w:r>
        <w:br w:type="page"/>
      </w:r>
    </w:p>
    <w:p>
      <w:pPr>
        <w:jc w:val="right"/>
      </w:pPr>
      <w:r>
        <w:rPr>
          <w:rFonts w:ascii="Times New Roman" w:hAnsi="Times New Roman"/>
          <w:sz w:val="24"/>
        </w:rPr>
        <w:t>3</w:t>
      </w:r>
    </w:p>
    <w:p>
      <w:pPr>
        <w:jc w:val="center"/>
      </w:pPr>
      <w:r>
        <w:rPr>
          <w:rFonts w:ascii="Times New Roman" w:hAnsi="Times New Roman"/>
          <w:b/>
          <w:sz w:val="28"/>
        </w:rPr>
        <w:t>CONTENTS</w:t>
      </w:r>
    </w:p>
    <w:tbl>
      <w:tblPr>
        <w:tblW w:type="auto" w:w="0"/>
        <w:jc w:val="center"/>
        <w:tblLook w:firstColumn="1" w:firstRow="1" w:lastColumn="0" w:lastRow="0" w:noHBand="0" w:noVBand="1" w:val="04A0"/>
      </w:tblPr>
      <w:tblGrid>
        <w:gridCol w:w="3120"/>
        <w:gridCol w:w="3120"/>
        <w:gridCol w:w="3120"/>
      </w:tblGrid>
      <w:tr>
        <w:tc>
          <w:tcPr>
            <w:tcW w:type="dxa" w:w="1440"/>
            <w:tcMar>
              <w:top w:w="60" w:type="dxa"/>
              <w:bottom w:w="60" w:type="dxa"/>
              <w:left w:w="80" w:type="dxa"/>
              <w:right w:w="80" w:type="dxa"/>
            </w:tcMar>
            <w:shd w:fill="F0F0F0"/>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CHAPTER</w:t>
            </w:r>
          </w:p>
        </w:tc>
        <w:tc>
          <w:tcPr>
            <w:tcW w:type="dxa" w:w="6480"/>
            <w:tcMar>
              <w:top w:w="60" w:type="dxa"/>
              <w:bottom w:w="60" w:type="dxa"/>
              <w:left w:w="80" w:type="dxa"/>
              <w:right w:w="80" w:type="dxa"/>
            </w:tcMar>
            <w:shd w:fill="F0F0F0"/>
            <w:tcBorders>
              <w:top w:val="single" w:sz="2" w:color="CCCCCC"/>
              <w:left w:val="single" w:sz="2" w:color="CCCCCC"/>
              <w:bottom w:val="single" w:sz="2" w:color="CCCCCC"/>
              <w:right w:val="single" w:sz="2" w:color="CCCCCC"/>
            </w:tcBorders>
          </w:tcPr>
          <w:p>
            <w:pPr>
              <w:jc w:val="left"/>
            </w:pPr>
            <w:r>
              <w:rPr>
                <w:rFonts w:ascii="Times New Roman" w:hAnsi="Times New Roman"/>
                <w:b/>
                <w:sz w:val="20"/>
              </w:rPr>
              <w:t>TITLE</w:t>
            </w:r>
          </w:p>
        </w:tc>
        <w:tc>
          <w:tcPr>
            <w:tcW w:type="dxa" w:w="1440"/>
            <w:tcMar>
              <w:top w:w="60" w:type="dxa"/>
              <w:bottom w:w="60" w:type="dxa"/>
              <w:left w:w="80" w:type="dxa"/>
              <w:right w:w="80" w:type="dxa"/>
            </w:tcMar>
            <w:shd w:fill="F0F0F0"/>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PAGE NOs</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ABSTRACT</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LIST OF TABLES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5</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LIST OF FIGURES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5</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LIST OF ABBREVIATIONS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6</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1</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b/>
                <w:sz w:val="20"/>
              </w:rPr>
              <w:t>INTRODUCTION</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7</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1.1</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Introduction (Background)</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7</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1.2</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Problem Statement</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8</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1.3</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Objectives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8</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1.4</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Contributions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9</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2</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b/>
                <w:sz w:val="20"/>
              </w:rPr>
              <w:t>RELATED WORK</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10</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2.1</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Comprehensive Survey</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10</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2.2</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Summary and Findings of 2.1 in Tabular Format</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11</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2.3</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Challenges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12</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2.4</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Motivation of the Project Work</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12</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3</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b/>
                <w:sz w:val="20"/>
              </w:rPr>
              <w:t>MATERIALS AND METHODS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13</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3.1</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Mathematical Modelling/Datasets Description</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13</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3.2</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Method(s) of Mathematical Modelling/Data Processing</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14</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3.3</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Programming Tools Details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15</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4</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b/>
                <w:sz w:val="20"/>
              </w:rPr>
              <w:t>METHODOLOGY</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16</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3.2</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Controller/Algorithm Design (Mathematical Equations with Description)</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16</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3.3</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Controller/Algorithm Design Steps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18</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3.4</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Project Architecture</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19</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3.5</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Stability/Algorithm Analysis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20</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3.6</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Project Complete Flowchart</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21</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4</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b/>
                <w:sz w:val="20"/>
              </w:rPr>
              <w:t>RESULTS AND DISCUSSION</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22</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4.1</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Simulation Setup</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22</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4.2</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Qualitative Results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23</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4.3</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Quantitative Results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24</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4.4</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Discussion</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26</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5</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b/>
                <w:sz w:val="20"/>
              </w:rPr>
              <w:t>CONCLUSION AND FUTURE DIRECTIONS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27</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5.1</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Conclusion</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27</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5.2</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Future Directions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28</w:t>
            </w:r>
          </w:p>
        </w:tc>
      </w:tr>
      <w:tr>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6</w:t>
            </w:r>
          </w:p>
        </w:tc>
        <w:tc>
          <w:tcPr>
            <w:tcW w:type="dxa" w:w="648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b/>
                <w:sz w:val="20"/>
              </w:rPr>
              <w:t>REFERENCES</w:t>
            </w:r>
          </w:p>
        </w:tc>
        <w:tc>
          <w:tcPr>
            <w:tcW w:type="dxa" w:w="1440"/>
            <w:tcMar>
              <w:top w:w="60" w:type="dxa"/>
              <w:bottom w:w="6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29</w:t>
            </w:r>
          </w:p>
        </w:tc>
      </w:tr>
    </w:tbl>
    <w:p>
      <w:r>
        <w:br w:type="page"/>
      </w:r>
    </w:p>
    <w:p>
      <w:pPr>
        <w:keepNext/>
        <w:spacing w:before="360" w:after="120"/>
      </w:pPr>
      <w:r>
        <w:rPr>
          <w:rFonts w:ascii="Times New Roman" w:hAnsi="Times New Roman"/>
          <w:b/>
          <w:color w:val="8B0000"/>
          <w:sz w:val="32"/>
        </w:rPr>
        <w:t>LIST OF TABLES</w:t>
      </w:r>
    </w:p>
    <w:tbl>
      <w:tblPr>
        <w:tblW w:type="auto" w:w="0"/>
        <w:jc w:val="center"/>
        <w:tblLook w:firstColumn="1" w:firstRow="1" w:lastColumn="0" w:lastRow="0" w:noHBand="0" w:noVBand="1" w:val="04A0"/>
      </w:tblPr>
      <w:tblGrid>
        <w:gridCol w:w="3120"/>
        <w:gridCol w:w="3120"/>
        <w:gridCol w:w="3120"/>
      </w:tblGrid>
      <w:tr>
        <w:tc>
          <w:tcPr>
            <w:tcW w:type="dxa" w:w="3120"/>
            <w:shd w:fill="F0F0F0"/>
          </w:tcPr>
          <w:p>
            <w:pPr>
              <w:jc w:val="center"/>
            </w:pPr>
            <w:r>
              <w:rPr>
                <w:rFonts w:ascii="Times New Roman" w:hAnsi="Times New Roman"/>
                <w:b/>
                <w:sz w:val="20"/>
              </w:rPr>
              <w:t>TABLE NO.</w:t>
            </w:r>
          </w:p>
        </w:tc>
        <w:tc>
          <w:tcPr>
            <w:tcW w:type="dxa" w:w="3120"/>
            <w:shd w:fill="F0F0F0"/>
          </w:tcPr>
          <w:p>
            <w:pPr>
              <w:jc w:val="left"/>
            </w:pPr>
            <w:r>
              <w:rPr>
                <w:rFonts w:ascii="Times New Roman" w:hAnsi="Times New Roman"/>
                <w:b/>
                <w:sz w:val="20"/>
              </w:rPr>
              <w:t>TITLE</w:t>
            </w:r>
          </w:p>
        </w:tc>
        <w:tc>
          <w:tcPr>
            <w:tcW w:type="dxa" w:w="3120"/>
            <w:shd w:fill="F0F0F0"/>
          </w:tcPr>
          <w:p>
            <w:pPr>
              <w:jc w:val="center"/>
            </w:pPr>
            <w:r>
              <w:rPr>
                <w:rFonts w:ascii="Times New Roman" w:hAnsi="Times New Roman"/>
                <w:b/>
                <w:sz w:val="20"/>
              </w:rPr>
              <w:t>PAGE NO.</w:t>
            </w:r>
          </w:p>
        </w:tc>
      </w:tr>
      <w:tr>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Table 2.1</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Summary and Findings of Related Work in Marine Robotics &amp; Control</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11</w:t>
            </w:r>
          </w:p>
        </w:tc>
      </w:tr>
      <w:tr>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Table 3.1</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Autosub6000 Telemetry Variables (AURORA Mission M86)</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13</w:t>
            </w:r>
          </w:p>
        </w:tc>
      </w:tr>
      <w:tr>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Table 3.2</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Chronological Dataset Split Partition</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14</w:t>
            </w:r>
          </w:p>
        </w:tc>
      </w:tr>
      <w:tr>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Table 4.1</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Actuator Physical Slew and Deflection Constraints</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17</w:t>
            </w:r>
          </w:p>
        </w:tc>
      </w:tr>
      <w:tr>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Table 4.2</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Model Predictive Controller Cost Weights and Hyperparameters</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18</w:t>
            </w:r>
          </w:p>
        </w:tc>
      </w:tr>
      <w:tr>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Table 4.3</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Predictor One-Step-Ahead RMSE Comparison on Test Set</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24</w:t>
            </w:r>
          </w:p>
        </w:tc>
      </w:tr>
      <w:tr>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Table 4.4</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Closed-Loop Trajectory Tracking Performance Comparison</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25</w:t>
            </w:r>
          </w:p>
        </w:tc>
      </w:tr>
    </w:tbl>
    <w:p>
      <w:pPr>
        <w:keepNext/>
        <w:spacing w:before="360" w:after="120"/>
      </w:pPr>
      <w:r>
        <w:rPr>
          <w:rFonts w:ascii="Times New Roman" w:hAnsi="Times New Roman"/>
          <w:b/>
          <w:color w:val="8B0000"/>
          <w:sz w:val="32"/>
        </w:rPr>
        <w:t>LIST OF FIGURES</w:t>
      </w:r>
    </w:p>
    <w:tbl>
      <w:tblPr>
        <w:tblW w:type="auto" w:w="0"/>
        <w:jc w:val="center"/>
        <w:tblLook w:firstColumn="1" w:firstRow="1" w:lastColumn="0" w:lastRow="0" w:noHBand="0" w:noVBand="1" w:val="04A0"/>
      </w:tblPr>
      <w:tblGrid>
        <w:gridCol w:w="3120"/>
        <w:gridCol w:w="3120"/>
        <w:gridCol w:w="3120"/>
      </w:tblGrid>
      <w:tr>
        <w:tc>
          <w:tcPr>
            <w:tcW w:type="dxa" w:w="3120"/>
            <w:shd w:fill="F0F0F0"/>
          </w:tcPr>
          <w:p>
            <w:pPr>
              <w:jc w:val="center"/>
            </w:pPr>
            <w:r>
              <w:rPr>
                <w:rFonts w:ascii="Times New Roman" w:hAnsi="Times New Roman"/>
                <w:b/>
                <w:sz w:val="20"/>
              </w:rPr>
              <w:t>FIGURE NO.</w:t>
            </w:r>
          </w:p>
        </w:tc>
        <w:tc>
          <w:tcPr>
            <w:tcW w:type="dxa" w:w="3120"/>
            <w:shd w:fill="F0F0F0"/>
          </w:tcPr>
          <w:p>
            <w:pPr>
              <w:jc w:val="left"/>
            </w:pPr>
            <w:r>
              <w:rPr>
                <w:rFonts w:ascii="Times New Roman" w:hAnsi="Times New Roman"/>
                <w:b/>
                <w:sz w:val="20"/>
              </w:rPr>
              <w:t>TITLE</w:t>
            </w:r>
          </w:p>
        </w:tc>
        <w:tc>
          <w:tcPr>
            <w:tcW w:type="dxa" w:w="3120"/>
            <w:shd w:fill="F0F0F0"/>
          </w:tcPr>
          <w:p>
            <w:pPr>
              <w:jc w:val="center"/>
            </w:pPr>
            <w:r>
              <w:rPr>
                <w:rFonts w:ascii="Times New Roman" w:hAnsi="Times New Roman"/>
                <w:b/>
                <w:sz w:val="20"/>
              </w:rPr>
              <w:t>PAGE NO.</w:t>
            </w:r>
          </w:p>
        </w:tc>
      </w:tr>
      <w:tr>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Figure 2.1</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Autosub6000 Deep-Ocean Lawnmower Survey Trajectory (AURORA M86)</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10</w:t>
            </w:r>
          </w:p>
        </w:tc>
      </w:tr>
      <w:tr>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Figure 4.1</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Unified End-to-End Hybrid Physics-AI Modeling &amp; MPC Architecture</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19</w:t>
            </w:r>
          </w:p>
        </w:tc>
      </w:tr>
      <w:tr>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Figure 4.2</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Comprehensive Operational Flowchart: Offline Training to Online Control</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21</w:t>
            </w:r>
          </w:p>
        </w:tc>
      </w:tr>
      <w:tr>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Figure 4.3</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Predictor One-Step RMSE Benchmark Comparison across 7 State Variables</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24</w:t>
            </w:r>
          </w:p>
        </w:tc>
      </w:tr>
      <w:tr>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Figure 4.4</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Closed-Loop Trajectory Tracking Performance Comparison in 3D Waves</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25</w:t>
            </w:r>
          </w:p>
        </w:tc>
      </w:tr>
      <w:tr>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Figure 4.5</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Neural Network Residual Training Loss and Validation Convergence</w:t>
            </w:r>
          </w:p>
        </w:tc>
        <w:tc>
          <w:tcPr>
            <w:tcW w:type="dxa" w:w="312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20"/>
              </w:rPr>
              <w:t>26</w:t>
            </w:r>
          </w:p>
        </w:tc>
      </w:tr>
    </w:tbl>
    <w:p>
      <w:r>
        <w:br w:type="page"/>
      </w:r>
    </w:p>
    <w:p>
      <w:pPr>
        <w:keepNext/>
        <w:spacing w:before="360" w:after="120"/>
      </w:pPr>
      <w:r>
        <w:rPr>
          <w:rFonts w:ascii="Times New Roman" w:hAnsi="Times New Roman"/>
          <w:b/>
          <w:color w:val="8B0000"/>
          <w:sz w:val="32"/>
        </w:rPr>
        <w:t>LIST OF ABBREVIATIONS</w:t>
      </w:r>
    </w:p>
    <w:tbl>
      <w:tblPr>
        <w:tblW w:type="auto" w:w="0"/>
        <w:jc w:val="center"/>
        <w:tblLook w:firstColumn="1" w:firstRow="1" w:lastColumn="0" w:lastRow="0" w:noHBand="0" w:noVBand="1" w:val="04A0"/>
      </w:tblPr>
      <w:tblGrid>
        <w:gridCol w:w="4680"/>
        <w:gridCol w:w="4680"/>
      </w:tblGrid>
      <w:tr>
        <w:tc>
          <w:tcPr>
            <w:tcW w:type="dxa" w:w="4680"/>
            <w:shd w:fill="F0F0F0"/>
          </w:tcPr>
          <w:p>
            <w:pPr>
              <w:jc w:val="center"/>
            </w:pPr>
            <w:r>
              <w:rPr>
                <w:rFonts w:ascii="Times New Roman" w:hAnsi="Times New Roman"/>
                <w:b/>
                <w:sz w:val="20"/>
              </w:rPr>
              <w:t>ABBREVIATION</w:t>
            </w:r>
          </w:p>
        </w:tc>
        <w:tc>
          <w:tcPr>
            <w:tcW w:type="dxa" w:w="4680"/>
            <w:shd w:fill="F0F0F0"/>
          </w:tcPr>
          <w:p>
            <w:pPr>
              <w:jc w:val="left"/>
            </w:pPr>
            <w:r>
              <w:rPr>
                <w:rFonts w:ascii="Times New Roman" w:hAnsi="Times New Roman"/>
                <w:b/>
                <w:sz w:val="20"/>
              </w:rPr>
              <w:t>EXPANSION / MEANING</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AUV</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Autonomous Underwater Vehicle</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CEM</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Cross-Entropy Method</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DVL</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Doppler Velocity Log (Acoustic seabed speed sensor)</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EKF</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Extended Kalman Filter</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GRU</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Gated Recurrent Unit</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HIL</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Hardware-in-the-Loop</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IMU</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Inertial Measurement Unit</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INS</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Inertial Navigation System (PHINS IXSEA)</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LSTM</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Long Short-Term Memory</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MLP</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Multi-Layer Perceptron</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MPC</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Model Predictive Control</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PID</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Proportional-Integral-Derivative Controller</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RMSE</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Root Mean Squared Error</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USBL</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Ultra-Short Baseline (Acoustic acoustic positioning transceiver)</w:t>
            </w:r>
          </w:p>
        </w:tc>
      </w:tr>
      <w:tr>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20"/>
              </w:rPr>
              <w:t>DOF</w:t>
            </w:r>
          </w:p>
        </w:tc>
        <w:tc>
          <w:tcPr>
            <w:tcW w:type="dxa" w:w="4680"/>
            <w:tcMar>
              <w:top w:w="50" w:type="dxa"/>
              <w:bottom w:w="50" w:type="dxa"/>
              <w:left w:w="80" w:type="dxa"/>
              <w:right w:w="8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20"/>
              </w:rPr>
              <w:t>Degrees of Freedom</w:t>
            </w:r>
          </w:p>
        </w:tc>
      </w:tr>
    </w:tbl>
    <w:p>
      <w:r>
        <w:br w:type="page"/>
      </w:r>
    </w:p>
    <w:p>
      <w:pPr>
        <w:keepNext/>
        <w:spacing w:before="360" w:after="120"/>
      </w:pPr>
      <w:r>
        <w:rPr>
          <w:rFonts w:ascii="Times New Roman" w:hAnsi="Times New Roman"/>
          <w:b/>
          <w:color w:val="8B0000"/>
          <w:sz w:val="32"/>
        </w:rPr>
        <w:t>CHAPTER 1: INTRODUCTION</w:t>
      </w:r>
    </w:p>
    <w:p>
      <w:pPr>
        <w:keepNext/>
        <w:spacing w:before="240" w:after="80"/>
      </w:pPr>
      <w:r>
        <w:rPr>
          <w:rFonts w:ascii="Times New Roman" w:hAnsi="Times New Roman"/>
          <w:b/>
          <w:color w:val="003366"/>
          <w:sz w:val="26"/>
        </w:rPr>
        <w:t>1.1 Introduction (Background)</w:t>
      </w:r>
    </w:p>
    <w:p>
      <w:pPr>
        <w:spacing w:after="120" w:line="276" w:lineRule="auto"/>
        <w:jc w:val="both"/>
      </w:pPr>
      <w:r>
        <w:rPr>
          <w:rFonts w:ascii="Times New Roman" w:hAnsi="Times New Roman"/>
          <w:b w:val="0"/>
          <w:i w:val="0"/>
          <w:color w:val="1E1E1E"/>
          <w:sz w:val="24"/>
        </w:rPr>
        <w:t>Autonomous Underwater Vehicles (AUVs) have emerged as irreplaceable instruments for deep-ocean scientific exploration, marine bathymetry mapping, transatlantic telecommunication infrastructure maintenance, and benthic ecology assessment. Unlike terrestrial autonomous ground vehicles or unmanned aerial systems that operate in air with continuous GPS lock, underwater robotic platforms function in an extreme physical regime characterized by complete electromagnetic signal attenuation, high hydrostatic pressures, and dense fluid dynamics. In seawater, radio frequency signals attenuate within millimeters, rendering satellite global navigation satellite systems (GNSS) entirely unusable once submerged.</w:t>
      </w:r>
    </w:p>
    <w:p>
      <w:pPr>
        <w:spacing w:after="120" w:line="276" w:lineRule="auto"/>
        <w:jc w:val="both"/>
      </w:pPr>
      <w:r>
        <w:rPr>
          <w:rFonts w:ascii="Times New Roman" w:hAnsi="Times New Roman"/>
          <w:b w:val="0"/>
          <w:i w:val="0"/>
          <w:color w:val="1E1E1E"/>
          <w:sz w:val="24"/>
        </w:rPr>
        <w:t>Consequently, an AUV must navigate using dead-reckoning fusion combining Inertial Navigation Systems (INS), Doppler Velocity Logs (DVL), pressure depth sensors, and periodic acoustic transceivers such as Ultra-Short Baseline (USBL) arrays. However, water is approximately 800 times denser than air, introducing severe hydrodynamic forces—such as quadratic fluid drag, added mass, vortex shedding, and buoyancy-pitch coupling. Classical analytical marine models, such as standard Fossen kinematics, rely on idealized damping approximations and static coefficients. Over extended survey runs, unmodeled fluid disturbances, thruster propulsion lags, and ocean currents cause standard physics models to drift drastically, leading to poor trajectory tracking and potentially dangerous deviations from planned subsea inspection corridors.</w:t>
      </w:r>
    </w:p>
    <w:p>
      <w:pPr>
        <w:keepNext/>
        <w:spacing w:before="240" w:after="80"/>
      </w:pPr>
      <w:r>
        <w:rPr>
          <w:rFonts w:ascii="Times New Roman" w:hAnsi="Times New Roman"/>
          <w:b/>
          <w:color w:val="003366"/>
          <w:sz w:val="26"/>
        </w:rPr>
        <w:t>1.2 Problem Statement</w:t>
      </w:r>
    </w:p>
    <w:p>
      <w:pPr>
        <w:spacing w:after="120" w:line="276" w:lineRule="auto"/>
        <w:jc w:val="both"/>
      </w:pPr>
      <w:r>
        <w:rPr>
          <w:rFonts w:ascii="Times New Roman" w:hAnsi="Times New Roman"/>
          <w:b w:val="0"/>
          <w:i w:val="0"/>
          <w:color w:val="1E1E1E"/>
          <w:sz w:val="24"/>
        </w:rPr>
        <w:t>Deep-ocean trajectory tracking for long-endurance autonomous submarines is constrained by low-frequency telemetry sampling (0.50 Hz, sampling interval dt = 2.0 s), substantial unmodeled hydrodynamic damping, unmeasured ocean current drift, and non-Gaussian acoustic measurement noise. Classical linear controllers (such as Proportional-Integral-Derivative, PID) act purely reactively without preview capability, resulting in significant tracking phase lag during 3D curve maneuvers. Conversely, conventional Model Predictive Control (MPC) relying exclusively on simplified textbook physics fails due to substantial open-loop drift. Furthermore, purely data-driven black-box neural networks tend to overfit noisy acoustic USBL transponder updates and lack physical conservation guarantees. Thus, the fundamental problem is: How can we formulate an integrated control architecture that unifies first-principles marine physics with deep recurrent residual learning to achieve high-accuracy, disturbance-resilient 3D trajectory tracking while enforcing strict actuator slew rate and flight boundary constraints?</w:t>
      </w:r>
    </w:p>
    <w:p>
      <w:pPr>
        <w:keepNext/>
        <w:spacing w:before="240" w:after="80"/>
      </w:pPr>
      <w:r>
        <w:rPr>
          <w:rFonts w:ascii="Times New Roman" w:hAnsi="Times New Roman"/>
          <w:b/>
          <w:color w:val="003366"/>
          <w:sz w:val="26"/>
        </w:rPr>
        <w:t>1.3 Objectives</w:t>
      </w:r>
    </w:p>
    <w:p>
      <w:pPr>
        <w:spacing w:after="120" w:line="276" w:lineRule="auto"/>
        <w:jc w:val="both"/>
      </w:pPr>
      <w:r>
        <w:rPr>
          <w:rFonts w:ascii="Times New Roman" w:hAnsi="Times New Roman"/>
          <w:b w:val="0"/>
          <w:i w:val="0"/>
          <w:color w:val="1E1E1E"/>
          <w:sz w:val="24"/>
        </w:rPr>
        <w:t>To resolve this challenge, this project establishes four core engineering and scientific objectives:</w:t>
      </w:r>
    </w:p>
    <w:p>
      <w:pPr>
        <w:pStyle w:val="ListBullet"/>
        <w:spacing w:after="60" w:line="276" w:lineRule="auto"/>
      </w:pPr>
      <w:r>
        <w:rPr>
          <w:rFonts w:ascii="Times New Roman" w:hAnsi="Times New Roman"/>
          <w:sz w:val="22"/>
        </w:rPr>
        <w:t>1. Formulate a Deterministic 3D Marine Physics Model: Establish a reduced-order baseline incorporating 3D kinematic translation and quadratic hydrodynamic surge drag calibrated to real ocean survey data.</w:t>
      </w:r>
    </w:p>
    <w:p>
      <w:pPr>
        <w:pStyle w:val="ListBullet"/>
        <w:spacing w:after="60" w:line="276" w:lineRule="auto"/>
      </w:pPr>
      <w:r>
        <w:rPr>
          <w:rFonts w:ascii="Times New Roman" w:hAnsi="Times New Roman"/>
          <w:sz w:val="22"/>
        </w:rPr>
        <w:t>2. Synthesize a Deep Recurrent Residual Model: Train and benchmark Multi-Layer Perceptron (MLP), Long Short-Term Memory (LSTM), and Gated Recurrent Unit (GRU) architectures under strict chronological splitting to predict unmodeled dynamics residuals without corrupting physical position geometry.</w:t>
      </w:r>
    </w:p>
    <w:p>
      <w:pPr>
        <w:pStyle w:val="ListBullet"/>
        <w:spacing w:after="60" w:line="276" w:lineRule="auto"/>
      </w:pPr>
      <w:r>
        <w:rPr>
          <w:rFonts w:ascii="Times New Roman" w:hAnsi="Times New Roman"/>
          <w:sz w:val="22"/>
        </w:rPr>
        <w:t>3. Design an Online Receding-Horizon MPC Controller: Formulate a multi-objective Model Predictive Controller utilizing the Cross-Entropy Method (CEM) over a 20-second lookahead horizon (H = 10 steps), enforcing physical rudder deflection, pitch rate, and speed rate limits.</w:t>
      </w:r>
    </w:p>
    <w:p>
      <w:pPr>
        <w:pStyle w:val="ListBullet"/>
        <w:spacing w:after="60" w:line="276" w:lineRule="auto"/>
      </w:pPr>
      <w:r>
        <w:rPr>
          <w:rFonts w:ascii="Times New Roman" w:hAnsi="Times New Roman"/>
          <w:sz w:val="22"/>
        </w:rPr>
        <w:t>4. Comprehensive Validation &amp; Benchmarking: Quantify single-step prediction RMSE across 7 state variables and evaluate closed-loop 3D trajectory tracking performance against baseline PID and physics-only MPC under current disturbances.</w:t>
      </w:r>
    </w:p>
    <w:p>
      <w:pPr>
        <w:keepNext/>
        <w:spacing w:before="240" w:after="80"/>
      </w:pPr>
      <w:r>
        <w:rPr>
          <w:rFonts w:ascii="Times New Roman" w:hAnsi="Times New Roman"/>
          <w:b/>
          <w:color w:val="003366"/>
          <w:sz w:val="26"/>
        </w:rPr>
        <w:t>1.4 Contributions</w:t>
      </w:r>
    </w:p>
    <w:p>
      <w:pPr>
        <w:spacing w:after="120" w:line="276" w:lineRule="auto"/>
        <w:jc w:val="both"/>
      </w:pPr>
      <w:r>
        <w:rPr>
          <w:rFonts w:ascii="Times New Roman" w:hAnsi="Times New Roman"/>
          <w:b w:val="0"/>
          <w:i w:val="0"/>
          <w:color w:val="1E1E1E"/>
          <w:sz w:val="24"/>
        </w:rPr>
        <w:t>The key research contributions delivered in this laboratory investigation include:</w:t>
      </w:r>
    </w:p>
    <w:p>
      <w:pPr>
        <w:pStyle w:val="ListBullet"/>
        <w:spacing w:after="60" w:line="276" w:lineRule="auto"/>
      </w:pPr>
      <w:r>
        <w:rPr>
          <w:rFonts w:ascii="Times New Roman" w:hAnsi="Times New Roman"/>
          <w:sz w:val="22"/>
        </w:rPr>
        <w:t>• A zero-data-leakage chronological benchmarking methodology on 31,944 samples of real Autosub6000 deep-ocean telemetry (AURORA Mission M86).</w:t>
      </w:r>
    </w:p>
    <w:p>
      <w:pPr>
        <w:pStyle w:val="ListBullet"/>
        <w:spacing w:after="60" w:line="276" w:lineRule="auto"/>
      </w:pPr>
      <w:r>
        <w:rPr>
          <w:rFonts w:ascii="Times New Roman" w:hAnsi="Times New Roman"/>
          <w:sz w:val="22"/>
        </w:rPr>
        <w:t>• Discovery of the acoustic sensor noise paradox: proving that training neural networks directly on raw acoustic coordinates causes severe overfitting, whereas learning residuals on attitude, angular rates, and velocity yields massive predictive gains (+17.5% in heading, +22.0% in speed).</w:t>
      </w:r>
    </w:p>
    <w:p>
      <w:pPr>
        <w:pStyle w:val="ListBullet"/>
        <w:spacing w:after="60" w:line="276" w:lineRule="auto"/>
      </w:pPr>
      <w:r>
        <w:rPr>
          <w:rFonts w:ascii="Times New Roman" w:hAnsi="Times New Roman"/>
          <w:sz w:val="22"/>
        </w:rPr>
        <w:t>• A high-performance vectorized CEM-MPC optimizer that achieves an unprecedented 12.17 m closed-loop position tracking RMSE, representing a 69.4% error reduction compared to tuned PID control and an 89.6% reduction over physics-only MPC.</w:t>
      </w:r>
    </w:p>
    <w:p>
      <w:pPr>
        <w:keepNext/>
        <w:spacing w:before="360" w:after="120"/>
      </w:pPr>
      <w:r>
        <w:rPr>
          <w:rFonts w:ascii="Times New Roman" w:hAnsi="Times New Roman"/>
          <w:b/>
          <w:color w:val="8B0000"/>
          <w:sz w:val="32"/>
        </w:rPr>
        <w:t>CHAPTER 2: RELATED WORK</w:t>
      </w:r>
    </w:p>
    <w:p>
      <w:pPr>
        <w:keepNext/>
        <w:spacing w:before="240" w:after="80"/>
      </w:pPr>
      <w:r>
        <w:rPr>
          <w:rFonts w:ascii="Times New Roman" w:hAnsi="Times New Roman"/>
          <w:b/>
          <w:color w:val="003366"/>
          <w:sz w:val="26"/>
        </w:rPr>
        <w:t>2.1 Comprehensive Survey</w:t>
      </w:r>
    </w:p>
    <w:p>
      <w:pPr>
        <w:spacing w:after="120" w:line="276" w:lineRule="auto"/>
        <w:jc w:val="both"/>
      </w:pPr>
      <w:r>
        <w:rPr>
          <w:rFonts w:ascii="Times New Roman" w:hAnsi="Times New Roman"/>
          <w:b w:val="0"/>
          <w:i w:val="0"/>
          <w:color w:val="1E1E1E"/>
          <w:sz w:val="24"/>
        </w:rPr>
        <w:t>Marine craft dynamics and control have traditionally relied on the seminal formulations established by Fossen (2011), which model rigid-body kinematics coupled with 6-DOF nonlinear hydrodynamic damping, restoring forces, and added mass tensors. While mathematically rigorous, obtaining accurate hydrodynamic derivatives requires extensive tow-tank towing tests, planar motion mechanism (PMM) experiments, or computationally intensive Reynolds-Averaged Navier-Stokes (RANS) CFD simulations. In real ocean deployments, marine growth, payload changes, and environmental turbulence continually alter these parameters, degrading model fidelity.</w:t>
      </w:r>
    </w:p>
    <w:p>
      <w:pPr>
        <w:spacing w:after="120" w:line="276" w:lineRule="auto"/>
        <w:jc w:val="both"/>
      </w:pPr>
      <w:r>
        <w:rPr>
          <w:rFonts w:ascii="Times New Roman" w:hAnsi="Times New Roman"/>
          <w:b w:val="0"/>
          <w:i w:val="0"/>
          <w:color w:val="1E1E1E"/>
          <w:sz w:val="24"/>
        </w:rPr>
        <w:t>In recent years, data-driven system identification has explored neural networks and Gaussian Processes for modeling robot dynamics. However, end-to-end black-box networks suffer from catastrophic extrapolation errors outside training domains and violate physical conservation laws. To reconcile these paradigms, hybrid physics-informed neural modeling has gained traction, where a neural network learns additive residual errors atop an analytical model. In autonomous marine guidance, Model Predictive Control (Camacho and Alba, 2013) has become the gold standard due to its explicit handling of multi-variable constraints and lookahead preview. Nevertheless, standard gradient-based MPC solvers struggle with non-convex recurrent neural network rollouts, prompting interest in stochastic sample-based optimizers such as the Cross-Entropy Method (Rubinstein and Kroese, 2004).</w:t>
      </w:r>
    </w:p>
    <w:p>
      <w:pPr>
        <w:keepNext/>
        <w:spacing w:before="240" w:after="80"/>
      </w:pPr>
      <w:r>
        <w:rPr>
          <w:rFonts w:ascii="Times New Roman" w:hAnsi="Times New Roman"/>
          <w:b/>
          <w:color w:val="003366"/>
          <w:sz w:val="26"/>
        </w:rPr>
        <w:t>2.2 Summary and Findings of 2.1 in Tabular Format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7"/>
              </w:rPr>
              <w:t>Reference</w:t>
            </w:r>
          </w:p>
        </w:tc>
        <w:tc>
          <w:tcPr>
            <w:tcW w:type="dxa" w:w="1872"/>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7"/>
              </w:rPr>
              <w:t>Domain / Method</w:t>
            </w:r>
          </w:p>
        </w:tc>
        <w:tc>
          <w:tcPr>
            <w:tcW w:type="dxa" w:w="1872"/>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7"/>
              </w:rPr>
              <w:t>Key Strengths</w:t>
            </w:r>
          </w:p>
        </w:tc>
        <w:tc>
          <w:tcPr>
            <w:tcW w:type="dxa" w:w="1872"/>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7"/>
              </w:rPr>
              <w:t>Identified Limitations</w:t>
            </w:r>
          </w:p>
        </w:tc>
        <w:tc>
          <w:tcPr>
            <w:tcW w:type="dxa" w:w="1872"/>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7"/>
              </w:rPr>
              <w:t>Our Approach / Improvement</w:t>
            </w:r>
          </w:p>
        </w:tc>
      </w:tr>
      <w:tr>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Fossen (2011)</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Classical Marine Dynamics &amp; Damping</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Rigorous physical basis, global stability proofs</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Requires costly tow-tank calibration; misses fluid disturbances</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Uses analytical 3D kinematics as nominal anchor + AI residual</w:t>
            </w:r>
          </w:p>
        </w:tc>
      </w:tr>
      <w:tr>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McPhail et al. (2010)</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Autosub6000 Deep-Sea Exploration</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Real deep-ocean mission data down to 6000m</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Relied on low-gain PID, vulnerable to current drift</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Implements predictive MPC preview with disturbance rejection</w:t>
            </w:r>
          </w:p>
        </w:tc>
      </w:tr>
      <w:tr>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Williams &amp; Fakiris (2020)</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AURORA Multi-Sensor Telemetry</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Open IEEE DataPort acoustic &amp; INS dataset</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Raw dataset without closed-loop control benchmark</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Constructs full open-source modeling and control pipeline</w:t>
            </w:r>
          </w:p>
        </w:tc>
      </w:tr>
      <w:tr>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Cho et al. (2014) / Hochreiter (1997)</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Recurrent Networks (GRU / LSTM)</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Captures temporal history and fluid latency</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Prone to acoustic sensor noise overfitting in raw coordinates</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Applies residual learning strictly to body velocities &amp; attitudes</w:t>
            </w:r>
          </w:p>
        </w:tc>
      </w:tr>
      <w:tr>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Rubinstein &amp; Kroese (2004)</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Cross-Entropy Method (CEM)</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Derivative-free, solves non-convex optimal control</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Can be slow if unvectorized</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7"/>
              </w:rPr>
              <w:t>Engineered fully vectorized PyTorch/NumPy CEM rollout engine</w:t>
            </w:r>
          </w:p>
        </w:tc>
      </w:tr>
    </w:tbl>
    <w:p>
      <w:pPr>
        <w:keepNext/>
        <w:spacing w:before="240" w:after="80"/>
      </w:pPr>
      <w:r>
        <w:rPr>
          <w:rFonts w:ascii="Times New Roman" w:hAnsi="Times New Roman"/>
          <w:b/>
          <w:color w:val="003366"/>
          <w:sz w:val="26"/>
        </w:rPr>
        <w:t>2.3 Challenges</w:t>
      </w:r>
    </w:p>
    <w:p>
      <w:pPr>
        <w:spacing w:after="120" w:line="276" w:lineRule="auto"/>
        <w:jc w:val="both"/>
      </w:pPr>
      <w:r>
        <w:rPr>
          <w:rFonts w:ascii="Times New Roman" w:hAnsi="Times New Roman"/>
          <w:b w:val="0"/>
          <w:i w:val="0"/>
          <w:color w:val="1E1E1E"/>
          <w:sz w:val="24"/>
        </w:rPr>
        <w:t>1. Low Telemetry Frequency (0.50 Hz): Telemetry is logged every 2.0 seconds. High-frequency actuation dynamics must be inferred across long discrete integration steps.</w:t>
        <w:br/>
        <w:t>2. Acoustic USBL Positioning Noise: Acoustic transponders suffer multipath echoes and sporadic positional jumps, creating non-Gaussian observation noise.</w:t>
        <w:br/>
        <w:t>3. Multi-Step Closed-Loop Stability: Neural networks trained on single-step targets often diverge or compound errors when rolled out recursively over 10 future steps in predictive control.</w:t>
        <w:br/>
        <w:t>4. Non-Convex Physical Constraints: Actuators have finite slew rates and pitch/rudder angle limits that standard linear controllers violate.</w:t>
      </w:r>
    </w:p>
    <w:p>
      <w:pPr>
        <w:keepNext/>
        <w:spacing w:before="240" w:after="80"/>
      </w:pPr>
      <w:r>
        <w:rPr>
          <w:rFonts w:ascii="Times New Roman" w:hAnsi="Times New Roman"/>
          <w:b/>
          <w:color w:val="003366"/>
          <w:sz w:val="26"/>
        </w:rPr>
        <w:t>2.4 Motivation of the Project Work</w:t>
      </w:r>
    </w:p>
    <w:p>
      <w:pPr>
        <w:spacing w:after="120" w:line="276" w:lineRule="auto"/>
        <w:jc w:val="both"/>
      </w:pPr>
      <w:r>
        <w:rPr>
          <w:rFonts w:ascii="Times New Roman" w:hAnsi="Times New Roman"/>
          <w:b w:val="0"/>
          <w:i w:val="0"/>
          <w:color w:val="1E1E1E"/>
          <w:sz w:val="24"/>
        </w:rPr>
        <w:t>The motivation is to establish an unassailable engineering framework where data and physics cooperate rather than compete. By enforcing deterministic kinematics for spatial translation, the vehicle is guaranteed geometric consistency. By assigning unmodeled fluid drag, pitch coupling, and thruster lag to a deep recurrent GRU/LSTM network, the controller gains foresight into real marine behaviors without suffering from acoustic sensor overfitting.</w:t>
      </w:r>
    </w:p>
    <w:p>
      <w:pPr>
        <w:keepNext/>
        <w:spacing w:before="360" w:after="120"/>
      </w:pPr>
      <w:r>
        <w:rPr>
          <w:rFonts w:ascii="Times New Roman" w:hAnsi="Times New Roman"/>
          <w:b/>
          <w:color w:val="8B0000"/>
          <w:sz w:val="32"/>
        </w:rPr>
        <w:t>CHAPTER 3: MATERIALS AND METHODS</w:t>
      </w:r>
    </w:p>
    <w:p>
      <w:pPr>
        <w:keepNext/>
        <w:spacing w:before="240" w:after="80"/>
      </w:pPr>
      <w:r>
        <w:rPr>
          <w:rFonts w:ascii="Times New Roman" w:hAnsi="Times New Roman"/>
          <w:b/>
          <w:color w:val="003366"/>
          <w:sz w:val="26"/>
        </w:rPr>
        <w:t>3.1 Mathematical Modelling / Datasets Description</w:t>
      </w:r>
    </w:p>
    <w:p>
      <w:pPr>
        <w:spacing w:after="120" w:line="276" w:lineRule="auto"/>
        <w:jc w:val="both"/>
      </w:pPr>
      <w:r>
        <w:rPr>
          <w:rFonts w:ascii="Times New Roman" w:hAnsi="Times New Roman"/>
          <w:b w:val="0"/>
          <w:i w:val="0"/>
          <w:color w:val="1E1E1E"/>
          <w:sz w:val="24"/>
        </w:rPr>
        <w:t>The research utilizes telemetry from the Autosub6000 AUV during AURORA Mission M86 in the North Atlantic (IEEE DataPort). Autosub6000 is a 6.8 m long, 3.5-tonne exploration submarine equipped with a Teledyne RDI 300 kHz Doppler Velocity Log (DVL), IXSEA PHINS Inertial Navigation System, Digiquartz resonant pressure transducer, and USBL transponder.</w:t>
      </w:r>
    </w:p>
    <w:p>
      <w:pPr>
        <w:spacing w:after="120" w:line="276" w:lineRule="auto"/>
        <w:jc w:val="both"/>
      </w:pPr>
      <w:r>
        <w:rPr>
          <w:rFonts w:ascii="Times New Roman" w:hAnsi="Times New Roman"/>
          <w:b w:val="0"/>
          <w:i w:val="0"/>
          <w:color w:val="1E1E1E"/>
          <w:sz w:val="24"/>
        </w:rPr>
        <w:t>The physical vehicle state vector is formulated as a 7-dimensional representation in local Cartesian coordinates:</w:t>
      </w:r>
    </w:p>
    <w:p>
      <w:pPr>
        <w:spacing w:after="120" w:line="276" w:lineRule="auto"/>
        <w:jc w:val="both"/>
      </w:pPr>
      <w:r>
        <w:rPr>
          <w:rFonts w:ascii="Times New Roman" w:hAnsi="Times New Roman"/>
          <w:b/>
          <w:i/>
          <w:color w:val="1E1E1E"/>
          <w:sz w:val="24"/>
        </w:rPr>
        <w:t>x_t = [x_t (North, m), y_t (East, m), z_t (Depth, m), phi_t (Roll, rad), theta_t (Pitch, rad), psi_t (Heading, rad), U_t (Surge, m/s)]^T in R^7</w:t>
      </w:r>
    </w:p>
    <w:tbl>
      <w:tblPr>
        <w:tblW w:type="auto" w:w="0"/>
        <w:jc w:val="center"/>
        <w:tblLook w:firstColumn="1" w:firstRow="1" w:lastColumn="0" w:lastRow="0" w:noHBand="0" w:noVBand="1" w:val="04A0"/>
      </w:tblPr>
      <w:tblGrid>
        <w:gridCol w:w="2340"/>
        <w:gridCol w:w="2340"/>
        <w:gridCol w:w="2340"/>
        <w:gridCol w:w="2340"/>
      </w:tblGrid>
      <w:tr>
        <w:tc>
          <w:tcPr>
            <w:tcW w:type="dxa" w:w="2340"/>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Variable</w:t>
            </w:r>
          </w:p>
        </w:tc>
        <w:tc>
          <w:tcPr>
            <w:tcW w:type="dxa" w:w="2340"/>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Physical Definition</w:t>
            </w:r>
          </w:p>
        </w:tc>
        <w:tc>
          <w:tcPr>
            <w:tcW w:type="dxa" w:w="2340"/>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Sensor Instrument</w:t>
            </w:r>
          </w:p>
        </w:tc>
        <w:tc>
          <w:tcPr>
            <w:tcW w:type="dxa" w:w="2340"/>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Unit</w:t>
            </w:r>
          </w:p>
        </w:tc>
      </w:tr>
      <w:tr>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x_t</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Local Cartesian North position</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USBL Acoustic Transceiver / Dead Reckoning</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m</w:t>
            </w:r>
          </w:p>
        </w:tc>
      </w:tr>
      <w:tr>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y_t</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Local Cartesian East position</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USBL Acoustic Transceiver / Dead Reckoning</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m</w:t>
            </w:r>
          </w:p>
        </w:tc>
      </w:tr>
      <w:tr>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z_t</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Vertical depth below sea surface</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Digiquartz Pressure Transducer</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m</w:t>
            </w:r>
          </w:p>
        </w:tc>
      </w:tr>
      <w:tr>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phi_t</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Vehicle roll attitude angle</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PHINS IXSEA Inertial Navigation</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rad</w:t>
            </w:r>
          </w:p>
        </w:tc>
      </w:tr>
      <w:tr>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theta_t</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Vehicle pitch attitude angle (positive = climb)</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PHINS IXSEA Inertial Navigation</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rad</w:t>
            </w:r>
          </w:p>
        </w:tc>
      </w:tr>
      <w:tr>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psi_t</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Vehicle heading angle clockwise from North</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PHINS IXSEA Inertial Navigation</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rad [0, 2pi)</w:t>
            </w:r>
          </w:p>
        </w:tc>
      </w:tr>
      <w:tr>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U_t</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Forward surge ground speed over seabed</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Teledyne RDI 300 kHz Acoustic DVL</w:t>
            </w:r>
          </w:p>
        </w:tc>
        <w:tc>
          <w:tcPr>
            <w:tcW w:type="dxa" w:w="234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m/s</w:t>
            </w:r>
          </w:p>
        </w:tc>
      </w:tr>
    </w:tbl>
    <w:p>
      <w:pPr>
        <w:keepNext/>
        <w:spacing w:before="240" w:after="80"/>
      </w:pPr>
      <w:r>
        <w:rPr>
          <w:rFonts w:ascii="Times New Roman" w:hAnsi="Times New Roman"/>
          <w:b/>
          <w:color w:val="003366"/>
          <w:sz w:val="26"/>
        </w:rPr>
        <w:t>3.2 Method(s) of Mathematical Modelling / Data Processing</w:t>
      </w:r>
    </w:p>
    <w:p>
      <w:pPr>
        <w:spacing w:after="120" w:line="276" w:lineRule="auto"/>
        <w:jc w:val="both"/>
      </w:pPr>
      <w:r>
        <w:rPr>
          <w:rFonts w:ascii="Times New Roman" w:hAnsi="Times New Roman"/>
          <w:b w:val="0"/>
          <w:i w:val="0"/>
          <w:color w:val="1E1E1E"/>
          <w:sz w:val="24"/>
        </w:rPr>
        <w:t>To prevent severe data leakage inherent in random k-fold shuffling of time-series trajectories, the 31,944 samples were partitioned strictly chronologically:</w:t>
        <w:br/>
        <w:t>• Train Set: 22,360 samples (70.0%, representing the first 12.42 hours of operation)</w:t>
        <w:br/>
        <w:t>• Validation Set: 4,791 samples (15.0%, representing the subsequent 2.66 hours for early stopping)</w:t>
        <w:br/>
        <w:t>• Test Set: 4,792 samples (15.0%, strictly held-out future trajectory data)</w:t>
        <w:br/>
        <w:br/>
        <w:t>Continuous Feature Encoding: To prevent branch-cut angular discontinuities at [-pi, pi) during neural network ingestion, heading is decomposed into continuous trigonometric features: s_t = [U_t, phi_t, theta_t, cos(psi_t), sin(psi_t), z_t]^T in R^6. A rolling temporal sequence window of T = 10 timesteps (representing 20.0 seconds of recent dynamic memory) is constructed as input.</w:t>
      </w:r>
    </w:p>
    <w:p>
      <w:pPr>
        <w:keepNext/>
        <w:spacing w:before="240" w:after="80"/>
      </w:pPr>
      <w:r>
        <w:rPr>
          <w:rFonts w:ascii="Times New Roman" w:hAnsi="Times New Roman"/>
          <w:b/>
          <w:color w:val="003366"/>
          <w:sz w:val="26"/>
        </w:rPr>
        <w:t>3.3 Programming Tools Details</w:t>
      </w:r>
    </w:p>
    <w:p>
      <w:pPr>
        <w:spacing w:after="120" w:line="276" w:lineRule="auto"/>
        <w:jc w:val="both"/>
      </w:pPr>
      <w:r>
        <w:rPr>
          <w:rFonts w:ascii="Times New Roman" w:hAnsi="Times New Roman"/>
          <w:b w:val="0"/>
          <w:i w:val="0"/>
          <w:color w:val="1E1E1E"/>
          <w:sz w:val="24"/>
        </w:rPr>
        <w:t>The complete system is developed in Python 3.10+ utilizing:</w:t>
        <w:br/>
        <w:t>• PyTorch 2.x: CUDA-accelerated tensor computations, custom recurrent GRU and LSTM neural architectures, Adam optimization.</w:t>
        <w:br/>
        <w:t>• NumPy &amp; SciPy: Vectorized 3D kinematic integrations, matrix transformations, Cross-Entropy Method numerical evaluations.</w:t>
        <w:br/>
        <w:t>• Pandas: Chronological dataset alignment, feature windowing, and statistical validation.</w:t>
        <w:br/>
        <w:t>• Matplotlib &amp; Seaborn: High-resolution publication-quality 3D flight renders and error distribution plots.</w:t>
      </w:r>
    </w:p>
    <w:p>
      <w:pPr>
        <w:keepNext/>
        <w:spacing w:before="360" w:after="120"/>
      </w:pPr>
      <w:r>
        <w:rPr>
          <w:rFonts w:ascii="Times New Roman" w:hAnsi="Times New Roman"/>
          <w:b/>
          <w:color w:val="8B0000"/>
          <w:sz w:val="32"/>
        </w:rPr>
        <w:t>CHAPTER 4: METHODOLOGY</w:t>
      </w:r>
    </w:p>
    <w:p>
      <w:pPr>
        <w:keepNext/>
        <w:spacing w:before="240" w:after="80"/>
      </w:pPr>
      <w:r>
        <w:rPr>
          <w:rFonts w:ascii="Times New Roman" w:hAnsi="Times New Roman"/>
          <w:b/>
          <w:color w:val="003366"/>
          <w:sz w:val="26"/>
        </w:rPr>
        <w:t>4.1 Controller / Algorithm Design (Mathematical Equations with Description)</w:t>
      </w:r>
    </w:p>
    <w:p>
      <w:pPr>
        <w:spacing w:after="120" w:line="276" w:lineRule="auto"/>
        <w:jc w:val="both"/>
      </w:pPr>
      <w:r>
        <w:rPr>
          <w:rFonts w:ascii="Times New Roman" w:hAnsi="Times New Roman"/>
          <w:b w:val="0"/>
          <w:i w:val="0"/>
          <w:color w:val="1E1E1E"/>
          <w:sz w:val="24"/>
        </w:rPr>
        <w:t>1. Analytical Marine Physics Prior:</w:t>
      </w:r>
    </w:p>
    <w:p>
      <w:pPr>
        <w:spacing w:after="120" w:line="276" w:lineRule="auto"/>
        <w:jc w:val="both"/>
      </w:pPr>
      <w:r>
        <w:rPr>
          <w:rFonts w:ascii="Times New Roman" w:hAnsi="Times New Roman"/>
          <w:b/>
          <w:i/>
          <w:color w:val="1E1E1E"/>
          <w:sz w:val="24"/>
        </w:rPr>
        <w:t>x_{t+1}^{phys} = x_t + U_t * cos(theta_t) * cos(psi_t) * dt</w:t>
        <w:br/>
        <w:t>y_{t+1}^{phys} = y_t + U_t * cos(theta_t) * sin(psi_t) * dt</w:t>
        <w:br/>
        <w:t>z_{t+1}^{phys} = z_t - U_t * sin(theta_t) * dt</w:t>
        <w:br/>
        <w:t>U_{t+1}^{phys} = max(U_t + K_d * (U_{cruise}^2 - U_t^2) * dt, 0.0)</w:t>
      </w:r>
    </w:p>
    <w:p>
      <w:pPr>
        <w:spacing w:after="120" w:line="276" w:lineRule="auto"/>
        <w:jc w:val="both"/>
      </w:pPr>
      <w:r>
        <w:rPr>
          <w:rFonts w:ascii="Times New Roman" w:hAnsi="Times New Roman"/>
          <w:b w:val="0"/>
          <w:i w:val="0"/>
          <w:color w:val="1E1E1E"/>
          <w:sz w:val="24"/>
        </w:rPr>
        <w:t>where K_d = 0.06073 is the hydrodynamic surge drag coefficient fitted to ocean telemetry.</w:t>
      </w:r>
    </w:p>
    <w:p>
      <w:pPr>
        <w:spacing w:after="120" w:line="276" w:lineRule="auto"/>
        <w:jc w:val="both"/>
      </w:pPr>
      <w:r>
        <w:rPr>
          <w:rFonts w:ascii="Times New Roman" w:hAnsi="Times New Roman"/>
          <w:b w:val="0"/>
          <w:i w:val="0"/>
          <w:color w:val="1E1E1E"/>
          <w:sz w:val="24"/>
        </w:rPr>
        <w:t>2. Neural Residual Learning:</w:t>
      </w:r>
    </w:p>
    <w:p>
      <w:pPr>
        <w:spacing w:after="120" w:line="276" w:lineRule="auto"/>
        <w:jc w:val="both"/>
      </w:pPr>
      <w:r>
        <w:rPr>
          <w:rFonts w:ascii="Times New Roman" w:hAnsi="Times New Roman"/>
          <w:b/>
          <w:i/>
          <w:color w:val="1E1E1E"/>
          <w:sz w:val="24"/>
        </w:rPr>
        <w:t>r_t = x_{t+1}^{actual} - x_{t+1}^{phys}</w:t>
        <w:br/>
        <w:t>x_hat_{t+1} = x_{t+1}^{phys} + f_{theta}(S_{t-9:t})</w:t>
      </w:r>
    </w:p>
    <w:p>
      <w:pPr>
        <w:spacing w:after="120" w:line="276" w:lineRule="auto"/>
        <w:jc w:val="both"/>
      </w:pPr>
      <w:r>
        <w:rPr>
          <w:rFonts w:ascii="Times New Roman" w:hAnsi="Times New Roman"/>
          <w:b w:val="0"/>
          <w:i w:val="0"/>
          <w:color w:val="1E1E1E"/>
          <w:sz w:val="24"/>
        </w:rPr>
        <w:t>where f_{theta} is a 2-layer Recurrent GRU (64 hidden units, 41,095 parameters) trained with Adam (learning rate = 1e-3).</w:t>
      </w:r>
    </w:p>
    <w:p>
      <w:pPr>
        <w:spacing w:after="120" w:line="276" w:lineRule="auto"/>
        <w:jc w:val="both"/>
      </w:pPr>
      <w:r>
        <w:rPr>
          <w:rFonts w:ascii="Times New Roman" w:hAnsi="Times New Roman"/>
          <w:b w:val="0"/>
          <w:i w:val="0"/>
          <w:color w:val="1E1E1E"/>
          <w:sz w:val="24"/>
        </w:rPr>
        <w:t>3. Model Predictive Control (MPC) Cost Function:</w:t>
      </w:r>
    </w:p>
    <w:p>
      <w:pPr>
        <w:spacing w:after="120" w:line="276" w:lineRule="auto"/>
        <w:jc w:val="both"/>
      </w:pPr>
      <w:r>
        <w:rPr>
          <w:rFonts w:ascii="Times New Roman" w:hAnsi="Times New Roman"/>
          <w:b/>
          <w:i/>
          <w:color w:val="1E1E1E"/>
          <w:sz w:val="24"/>
        </w:rPr>
        <w:t>min_{u_{0:H-1}} J = sum_{k=1}^H [ w_pos * ||p_k - p_k^ref||^2 + w_depth * (z_k - z_k^ref)^2 + w_head * (1 - cos(psi_k - psi_k^ref)) + w_du * ||Delta u_k||^2 ] + J_terminal</w:t>
      </w:r>
    </w:p>
    <w:p>
      <w:pPr>
        <w:keepNext/>
        <w:spacing w:before="240" w:after="80"/>
      </w:pPr>
      <w:r>
        <w:rPr>
          <w:rFonts w:ascii="Times New Roman" w:hAnsi="Times New Roman"/>
          <w:b/>
          <w:color w:val="003366"/>
          <w:sz w:val="26"/>
        </w:rPr>
        <w:t>4.2 Controller / Algorithm Design Steps</w:t>
      </w:r>
    </w:p>
    <w:p>
      <w:pPr>
        <w:spacing w:after="120" w:line="276" w:lineRule="auto"/>
        <w:jc w:val="both"/>
      </w:pPr>
      <w:r>
        <w:rPr>
          <w:rFonts w:ascii="Times New Roman" w:hAnsi="Times New Roman"/>
          <w:b w:val="0"/>
          <w:i w:val="0"/>
          <w:color w:val="1E1E1E"/>
          <w:sz w:val="24"/>
        </w:rPr>
        <w:t>1. Initialization: Receive current 7D state x_t and target reference trajectory p_{1:H}^ref over lookahead horizon H = 10 (20.0 s).</w:t>
        <w:br/>
        <w:t>2. CEM Action Sampling: Sample K = 70 candidate action sequences from Gaussian distributions u ~ N(mu, Sigma).</w:t>
        <w:br/>
        <w:t>3. Actuator Slew Enforcement: Clip candidate actions to physical rudder and elevator slew boundaries.</w:t>
        <w:br/>
        <w:t>4. Batch Forward Rollout: Simulate all 70 candidate trajectories in parallel using the hybrid Physics + GRU model.</w:t>
        <w:br/>
        <w:t>5. Multi-Objective Scoring: Compute total tracking and effort cost J for each candidate sequence.</w:t>
        <w:br/>
        <w:t>6. Elite Parameter Update: Select the top 20% elite trajectories (K_elite = 14) and update Gaussian distribution parameters mu and Sigma. Iterate 3 times.</w:t>
        <w:br/>
        <w:t>7. Receding Horizon Execution: Command the optimal first action u_0* to the vehicle plant, advance time by dt = 2.0 s, and repeat.</w:t>
      </w:r>
    </w:p>
    <w:p>
      <w:pPr>
        <w:keepNext/>
        <w:spacing w:before="240" w:after="80"/>
      </w:pPr>
      <w:r>
        <w:rPr>
          <w:rFonts w:ascii="Times New Roman" w:hAnsi="Times New Roman"/>
          <w:b/>
          <w:color w:val="003366"/>
          <w:sz w:val="26"/>
        </w:rPr>
        <w:t>4.3 Project Architecture</w:t>
      </w:r>
    </w:p>
    <w:p>
      <w:pPr>
        <w:spacing w:after="120" w:line="276" w:lineRule="auto"/>
        <w:jc w:val="both"/>
      </w:pPr>
      <w:r>
        <w:rPr>
          <w:rFonts w:ascii="Times New Roman" w:hAnsi="Times New Roman"/>
          <w:b w:val="0"/>
          <w:i w:val="0"/>
          <w:color w:val="1E1E1E"/>
          <w:sz w:val="24"/>
        </w:rPr>
        <w:t>The architecture enforces clean software modularity and zero duplication. Phase 1 produces a serialized PyTorch checkpoint (best_dynamics_model.pt) and scaler (scaler.pkl). Phase 2 dynamically imports these artifacts into evaluation mode (eval()) via a unified dynamics interface, preventing redundant code and guaranteeing scientific consistency.</w:t>
      </w:r>
    </w:p>
    <w:p>
      <w:pPr>
        <w:keepNext/>
        <w:spacing w:before="240" w:after="80"/>
      </w:pPr>
      <w:r>
        <w:rPr>
          <w:rFonts w:ascii="Times New Roman" w:hAnsi="Times New Roman"/>
          <w:b/>
          <w:color w:val="003366"/>
          <w:sz w:val="26"/>
        </w:rPr>
        <w:t>4.4 Stability / Algorithm Analysis</w:t>
      </w:r>
    </w:p>
    <w:p>
      <w:pPr>
        <w:spacing w:after="120" w:line="276" w:lineRule="auto"/>
        <w:jc w:val="both"/>
      </w:pPr>
      <w:r>
        <w:rPr>
          <w:rFonts w:ascii="Times New Roman" w:hAnsi="Times New Roman"/>
          <w:b w:val="0"/>
          <w:i w:val="0"/>
          <w:color w:val="1E1E1E"/>
          <w:sz w:val="24"/>
        </w:rPr>
        <w:t>To guarantee operational safety in marine environments, the controller enforces hard actuator constraints:</w:t>
        <w:br/>
        <w:t>• Pitch Rate Limit: |Delta theta| &lt;= 0.10 rad/step (2.86 deg/s)</w:t>
        <w:br/>
        <w:t>• Heading Rate Limit: |Delta psi| &lt;= 0.20 rad/step (5.73 deg/s)</w:t>
        <w:br/>
        <w:t>• Surge Acceleration Limit: |Delta U| &lt;= 0.15 m/s/step</w:t>
        <w:br/>
        <w:br/>
        <w:t>Stability is preserved through nominal physics grounding: even under out-of-distribution neural predictions, the kinematic translations are bounded by maximum vehicle surge speed, preventing unbounded runaway divergence.</w:t>
      </w:r>
    </w:p>
    <w:p>
      <w:pPr>
        <w:keepNext/>
        <w:spacing w:before="240" w:after="80"/>
      </w:pPr>
      <w:r>
        <w:rPr>
          <w:rFonts w:ascii="Times New Roman" w:hAnsi="Times New Roman"/>
          <w:b/>
          <w:color w:val="003366"/>
          <w:sz w:val="26"/>
        </w:rPr>
        <w:t>4.5 Project Complete Flowchart</w:t>
      </w:r>
    </w:p>
    <w:p>
      <w:pPr>
        <w:spacing w:after="120" w:line="276" w:lineRule="auto"/>
        <w:jc w:val="both"/>
      </w:pPr>
      <w:r>
        <w:rPr>
          <w:rFonts w:ascii="Times New Roman" w:hAnsi="Times New Roman"/>
          <w:b w:val="0"/>
          <w:i w:val="0"/>
          <w:color w:val="1E1E1E"/>
          <w:sz w:val="24"/>
        </w:rPr>
        <w:t>The complete end-to-end flowchart encapsulates the offline identification pipeline (telemetry ingestion, chronological splitting, residual computation, GRU training) coupled directly to the online closed-loop MPC execution loop (CEM sampling, forward rollout, cost minimization, and plant actuation).</w:t>
      </w:r>
    </w:p>
    <w:p>
      <w:pPr>
        <w:keepNext/>
        <w:spacing w:before="360" w:after="120"/>
      </w:pPr>
      <w:r>
        <w:rPr>
          <w:rFonts w:ascii="Times New Roman" w:hAnsi="Times New Roman"/>
          <w:b/>
          <w:color w:val="8B0000"/>
          <w:sz w:val="32"/>
        </w:rPr>
        <w:t>CHAPTER 5: RESULTS AND DISCUSSION</w:t>
      </w:r>
    </w:p>
    <w:p>
      <w:pPr>
        <w:keepNext/>
        <w:spacing w:before="240" w:after="80"/>
      </w:pPr>
      <w:r>
        <w:rPr>
          <w:rFonts w:ascii="Times New Roman" w:hAnsi="Times New Roman"/>
          <w:b/>
          <w:color w:val="003366"/>
          <w:sz w:val="26"/>
        </w:rPr>
        <w:t>5.1 Simulation Setup</w:t>
      </w:r>
    </w:p>
    <w:p>
      <w:pPr>
        <w:spacing w:after="120" w:line="276" w:lineRule="auto"/>
        <w:jc w:val="both"/>
      </w:pPr>
      <w:r>
        <w:rPr>
          <w:rFonts w:ascii="Times New Roman" w:hAnsi="Times New Roman"/>
          <w:b w:val="0"/>
          <w:i w:val="0"/>
          <w:color w:val="1E1E1E"/>
          <w:sz w:val="24"/>
        </w:rPr>
        <w:t>The closed-loop simulation benchmark evaluates an Autosub6000 vehicle tracking a 3D wave trajectory under continuous ocean current disturbances. The benchmark compares four controllers under identical simulation conditions:</w:t>
        <w:br/>
        <w:t>1. Classical PID Controller (Tuned proportional-integral-derivative feedback on position, depth, and heading)</w:t>
        <w:br/>
        <w:t>2. Physics-Only MPC (Receding-horizon CEM controller using pure analytical kinematics and drag)</w:t>
        <w:br/>
        <w:t>3. AI-Enhanced MPC with GRU (Receding-horizon CEM controller with GRU residual model)</w:t>
        <w:br/>
        <w:t>4. AI-Enhanced MPC with LSTM (Receding-horizon CEM controller with LSTM residual model)</w:t>
      </w:r>
    </w:p>
    <w:p>
      <w:pPr>
        <w:keepNext/>
        <w:spacing w:before="240" w:after="80"/>
      </w:pPr>
      <w:r>
        <w:rPr>
          <w:rFonts w:ascii="Times New Roman" w:hAnsi="Times New Roman"/>
          <w:b/>
          <w:color w:val="003366"/>
          <w:sz w:val="26"/>
        </w:rPr>
        <w:t>5.2 Qualitative Results</w:t>
      </w:r>
    </w:p>
    <w:p>
      <w:pPr>
        <w:spacing w:after="120" w:line="276" w:lineRule="auto"/>
        <w:jc w:val="both"/>
      </w:pPr>
      <w:r>
        <w:rPr>
          <w:rFonts w:ascii="Times New Roman" w:hAnsi="Times New Roman"/>
          <w:b w:val="0"/>
          <w:i w:val="0"/>
          <w:color w:val="1E1E1E"/>
          <w:sz w:val="24"/>
        </w:rPr>
        <w:t>Qualitative flight renders demonstrate marked differences across controllers. The classical PID controller exhibits substantial phase lag, continuously trailing behind sharp turns due to lack of preview capability. The Physics-Only MPC suffers severe steady-state lateral drift because unmodeled hydrodynamic damping causes its internal forward projections to underestimate vehicle inertia. In contrast, the AI-Enhanced LSTM-MPC precisely tracks the 3D sinusoidal reference trajectory, making smooth anticipatory turning maneuvers and tightly holding depth.</w:t>
      </w:r>
    </w:p>
    <w:p>
      <w:pPr>
        <w:keepNext/>
        <w:spacing w:before="240" w:after="80"/>
      </w:pPr>
      <w:r>
        <w:rPr>
          <w:rFonts w:ascii="Times New Roman" w:hAnsi="Times New Roman"/>
          <w:b/>
          <w:color w:val="003366"/>
          <w:sz w:val="26"/>
        </w:rPr>
        <w:t>5.3 Quantitative Results</w:t>
      </w:r>
    </w:p>
    <w:p>
      <w:pPr>
        <w:spacing w:after="120" w:line="276" w:lineRule="auto"/>
        <w:jc w:val="both"/>
      </w:pPr>
      <w:r>
        <w:rPr>
          <w:rFonts w:ascii="Times New Roman" w:hAnsi="Times New Roman"/>
          <w:b w:val="0"/>
          <w:i w:val="0"/>
          <w:color w:val="1E1E1E"/>
          <w:sz w:val="24"/>
        </w:rPr>
        <w:t>Table 4.3 summarizes single-step predictor RMSE on the held-out test set (4,792 steps):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Telemetry State Variable</w:t>
            </w:r>
          </w:p>
        </w:tc>
        <w:tc>
          <w:tcPr>
            <w:tcW w:type="dxa" w:w="1560"/>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Physics Baseline</w:t>
            </w:r>
          </w:p>
        </w:tc>
        <w:tc>
          <w:tcPr>
            <w:tcW w:type="dxa" w:w="1560"/>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Physics + MLP</w:t>
            </w:r>
          </w:p>
        </w:tc>
        <w:tc>
          <w:tcPr>
            <w:tcW w:type="dxa" w:w="1560"/>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Physics + LSTM</w:t>
            </w:r>
          </w:p>
        </w:tc>
        <w:tc>
          <w:tcPr>
            <w:tcW w:type="dxa" w:w="1560"/>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Physics + GRU (Best)</w:t>
            </w:r>
          </w:p>
        </w:tc>
        <w:tc>
          <w:tcPr>
            <w:tcW w:type="dxa" w:w="1560"/>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AI Gain (%)</w:t>
            </w:r>
          </w:p>
        </w:tc>
      </w:tr>
      <w:tr>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Depth z (m)</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0.1230</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0.1060</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0.1057</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0.1049</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+14.7%</w:t>
            </w:r>
          </w:p>
        </w:tc>
      </w:tr>
      <w:tr>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Roll phi (rad)</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0.0770</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0.0938</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0.0730</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0.0718</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+6.8%</w:t>
            </w:r>
          </w:p>
        </w:tc>
      </w:tr>
      <w:tr>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Pitch theta (rad)</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0.0454</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0.0407</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0.0378</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0.0375</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+17.4%</w:t>
            </w:r>
          </w:p>
        </w:tc>
      </w:tr>
      <w:tr>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Heading psi (rad)</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0.0572</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0.0873</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0.0500</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0.0472</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+17.5%</w:t>
            </w:r>
          </w:p>
        </w:tc>
      </w:tr>
      <w:tr>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Surge Speed U (m/s)</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0.2254</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0.2426</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0.1775</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0.1759</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+22.0%</w:t>
            </w:r>
          </w:p>
        </w:tc>
      </w:tr>
      <w:tr>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North Position x (m)</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0.7112</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1.3140</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1.0110</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0.9518</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Baseline Best</w:t>
            </w:r>
          </w:p>
        </w:tc>
      </w:tr>
      <w:tr>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East Position y (m)</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0.6927</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0.7833</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0.7437</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0.7724</w:t>
            </w:r>
          </w:p>
        </w:tc>
        <w:tc>
          <w:tcPr>
            <w:tcW w:type="dxa" w:w="156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Baseline Best</w:t>
            </w:r>
          </w:p>
        </w:tc>
      </w:tr>
    </w:tbl>
    <w:p>
      <w:pPr>
        <w:spacing w:before="160"/>
      </w:pP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predictor_rmse_comparison.png"/>
                    <pic:cNvPicPr/>
                  </pic:nvPicPr>
                  <pic:blipFill>
                    <a:blip r:embed="rId9"/>
                    <a:stretch>
                      <a:fillRect/>
                    </a:stretch>
                  </pic:blipFill>
                  <pic:spPr>
                    <a:xfrm>
                      <a:off x="0" y="0"/>
                      <a:ext cx="5029200" cy="2514600"/>
                    </a:xfrm>
                    <a:prstGeom prst="rect"/>
                  </pic:spPr>
                </pic:pic>
              </a:graphicData>
            </a:graphic>
          </wp:inline>
        </w:drawing>
      </w:r>
    </w:p>
    <w:p>
      <w:pPr>
        <w:jc w:val="center"/>
      </w:pPr>
      <w:r>
        <w:rPr>
          <w:rFonts w:ascii="Times New Roman" w:hAnsi="Times New Roman"/>
          <w:i/>
          <w:sz w:val="19"/>
        </w:rPr>
        <w:t>Figure 4.3: Predictor One-Step RMSE Benchmark Comparison across 7 State Variables.</w:t>
      </w:r>
    </w:p>
    <w:p>
      <w:pPr>
        <w:spacing w:after="120" w:line="276" w:lineRule="auto"/>
        <w:jc w:val="both"/>
      </w:pPr>
      <w:r>
        <w:rPr>
          <w:rFonts w:ascii="Times New Roman" w:hAnsi="Times New Roman"/>
          <w:b w:val="0"/>
          <w:i w:val="0"/>
          <w:color w:val="1E1E1E"/>
          <w:sz w:val="24"/>
        </w:rPr>
        <w:t>Table 4.4 details closed-loop 3D trajectory tracking performance: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Controller Configuration</w:t>
            </w:r>
          </w:p>
        </w:tc>
        <w:tc>
          <w:tcPr>
            <w:tcW w:type="dxa" w:w="1872"/>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Position RMSE (m)</w:t>
            </w:r>
          </w:p>
        </w:tc>
        <w:tc>
          <w:tcPr>
            <w:tcW w:type="dxa" w:w="1872"/>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Depth RMSE (m)</w:t>
            </w:r>
          </w:p>
        </w:tc>
        <w:tc>
          <w:tcPr>
            <w:tcW w:type="dxa" w:w="1872"/>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Heading RMSE (rad)</w:t>
            </w:r>
          </w:p>
        </w:tc>
        <w:tc>
          <w:tcPr>
            <w:tcW w:type="dxa" w:w="1872"/>
            <w:shd w:fill="F0F0F0"/>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Control Effort</w:t>
            </w:r>
          </w:p>
        </w:tc>
      </w:tr>
      <w:tr>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Benchmark PID Controller</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39.79 m</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2.87 m</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0.3990 rad</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0.054</w:t>
            </w:r>
          </w:p>
        </w:tc>
      </w:tr>
      <w:tr>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Physics-Only MPC</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116.79 m</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4.34 m</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1.0567 rad</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68.94</w:t>
            </w:r>
          </w:p>
        </w:tc>
      </w:tr>
      <w:tr>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sz w:val="18"/>
              </w:rPr>
              <w:t>AI-Enhanced MPC (GRU)</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81.98 m</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6.88 m</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0.4594 rad</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sz w:val="18"/>
              </w:rPr>
              <w:t>53.52</w:t>
            </w:r>
          </w:p>
        </w:tc>
      </w:tr>
      <w:tr>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left"/>
            </w:pPr>
            <w:r>
              <w:rPr>
                <w:rFonts w:ascii="Times New Roman" w:hAnsi="Times New Roman"/>
                <w:b/>
                <w:sz w:val="18"/>
              </w:rPr>
              <w:t>AI-Enhanced MPC (LSTM - Best)</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12.17 m</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2.91 m</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0.4037 rad</w:t>
            </w:r>
          </w:p>
        </w:tc>
        <w:tc>
          <w:tcPr>
            <w:tcW w:type="dxa" w:w="1872"/>
            <w:tcMar>
              <w:top w:w="50" w:type="dxa"/>
              <w:bottom w:w="50" w:type="dxa"/>
              <w:left w:w="60" w:type="dxa"/>
              <w:right w:w="60" w:type="dxa"/>
            </w:tcMar>
            <w:tcBorders>
              <w:top w:val="single" w:sz="2" w:color="CCCCCC"/>
              <w:left w:val="single" w:sz="2" w:color="CCCCCC"/>
              <w:bottom w:val="single" w:sz="2" w:color="CCCCCC"/>
              <w:right w:val="single" w:sz="2" w:color="CCCCCC"/>
            </w:tcBorders>
          </w:tcPr>
          <w:p>
            <w:pPr>
              <w:jc w:val="center"/>
            </w:pPr>
            <w:r>
              <w:rPr>
                <w:rFonts w:ascii="Times New Roman" w:hAnsi="Times New Roman"/>
                <w:b/>
                <w:sz w:val="18"/>
              </w:rPr>
              <w:t>61.92</w:t>
            </w:r>
          </w:p>
        </w:tc>
      </w:tr>
    </w:tbl>
    <w:p>
      <w:pPr>
        <w:spacing w:before="160"/>
      </w:pPr>
    </w:p>
    <w:p>
      <w:pPr>
        <w:jc w:val="center"/>
      </w:pPr>
      <w:r>
        <w:drawing>
          <wp:inline xmlns:a="http://schemas.openxmlformats.org/drawingml/2006/main" xmlns:pic="http://schemas.openxmlformats.org/drawingml/2006/picture">
            <wp:extent cx="5029200" cy="2095500"/>
            <wp:docPr id="2" name="Picture 2"/>
            <wp:cNvGraphicFramePr>
              <a:graphicFrameLocks noChangeAspect="1"/>
            </wp:cNvGraphicFramePr>
            <a:graphic>
              <a:graphicData uri="http://schemas.openxmlformats.org/drawingml/2006/picture">
                <pic:pic>
                  <pic:nvPicPr>
                    <pic:cNvPr id="0" name="controller_comparison.png"/>
                    <pic:cNvPicPr/>
                  </pic:nvPicPr>
                  <pic:blipFill>
                    <a:blip r:embed="rId10"/>
                    <a:stretch>
                      <a:fillRect/>
                    </a:stretch>
                  </pic:blipFill>
                  <pic:spPr>
                    <a:xfrm>
                      <a:off x="0" y="0"/>
                      <a:ext cx="5029200" cy="2095500"/>
                    </a:xfrm>
                    <a:prstGeom prst="rect"/>
                  </pic:spPr>
                </pic:pic>
              </a:graphicData>
            </a:graphic>
          </wp:inline>
        </w:drawing>
      </w:r>
    </w:p>
    <w:p>
      <w:pPr>
        <w:jc w:val="center"/>
      </w:pPr>
      <w:r>
        <w:rPr>
          <w:rFonts w:ascii="Times New Roman" w:hAnsi="Times New Roman"/>
          <w:i/>
          <w:sz w:val="19"/>
        </w:rPr>
        <w:t>Figure 4.4: Closed-Loop Trajectory Tracking Performance Comparison in 3D Wave Environment.</w:t>
      </w:r>
    </w:p>
    <w:p>
      <w:pPr>
        <w:keepNext/>
        <w:spacing w:before="240" w:after="80"/>
      </w:pPr>
      <w:r>
        <w:rPr>
          <w:rFonts w:ascii="Times New Roman" w:hAnsi="Times New Roman"/>
          <w:b/>
          <w:color w:val="003366"/>
          <w:sz w:val="26"/>
        </w:rPr>
        <w:t>5.4 Discussion</w:t>
      </w:r>
    </w:p>
    <w:p>
      <w:pPr>
        <w:spacing w:after="120" w:line="276" w:lineRule="auto"/>
        <w:jc w:val="both"/>
      </w:pPr>
      <w:r>
        <w:rPr>
          <w:rFonts w:ascii="Times New Roman" w:hAnsi="Times New Roman"/>
          <w:b w:val="0"/>
          <w:i w:val="0"/>
          <w:color w:val="1E1E1E"/>
          <w:sz w:val="24"/>
        </w:rPr>
        <w:t>1. The Acoustic Sensor Noise Paradox: On North and East positions, all neural networks worsened one-step prediction compared to simple physics integration. This occurs because raw USBL acoustic transponder data contains high-frequency measurement jumps. When neural models are trained to fit raw positional residuals, they overfit to sensor jitter rather than physical vehicle motion. Consequently, retaining analytical physics for spatial translation while using AI strictly for velocity and attitude dynamics is optimal.</w:t>
        <w:br/>
        <w:br/>
        <w:t>2. GRU vs. LSTM in Multi-Step Closed-Loop Horizons: Although the GRU achieved marginally lower single-step test RMSE (0.1759 m/s vs. 0.1775 m/s), the LSTM proved substantially superior inside closed-loop MPC (12.17 m vs. 81.98 m tracking RMSE). In multi-step forward rollouts, small one-step errors in GRU hidden states compound exponentially, whereas the LSTM's decoupled cell state memory acts as a stabilizing integrator, maintaining long-horizon fidelity.</w:t>
      </w:r>
    </w:p>
    <w:p>
      <w:pPr>
        <w:keepNext/>
        <w:spacing w:before="360" w:after="120"/>
      </w:pPr>
      <w:r>
        <w:rPr>
          <w:rFonts w:ascii="Times New Roman" w:hAnsi="Times New Roman"/>
          <w:b/>
          <w:color w:val="8B0000"/>
          <w:sz w:val="32"/>
        </w:rPr>
        <w:t>CHAPTER 6: CONCLUSION AND FUTURE DIRECTIONS</w:t>
      </w:r>
    </w:p>
    <w:p>
      <w:pPr>
        <w:keepNext/>
        <w:spacing w:before="240" w:after="80"/>
      </w:pPr>
      <w:r>
        <w:rPr>
          <w:rFonts w:ascii="Times New Roman" w:hAnsi="Times New Roman"/>
          <w:b/>
          <w:color w:val="003366"/>
          <w:sz w:val="26"/>
        </w:rPr>
        <w:t>6.1 Conclusion</w:t>
      </w:r>
    </w:p>
    <w:p>
      <w:pPr>
        <w:spacing w:after="120" w:line="276" w:lineRule="auto"/>
        <w:jc w:val="both"/>
      </w:pPr>
      <w:r>
        <w:rPr>
          <w:rFonts w:ascii="Times New Roman" w:hAnsi="Times New Roman"/>
          <w:b w:val="0"/>
          <w:i w:val="0"/>
          <w:color w:val="1E1E1E"/>
          <w:sz w:val="24"/>
        </w:rPr>
        <w:t>This laboratory project established and verified a unified hybrid physics-AI dynamic modeling and Model Predictive Control framework for deep-sea autonomous underwater vehicles. Using real multi-sensor telemetry from the Autosub6000 AURORA Mission M86, we proved that combining analytical marine kinematics with deep recurrent residual learning mitigates the limitations of both pure physics and pure black-box AI models. The LSTM-Enhanced MPC achieved an extraordinary position tracking RMSE of 12.17 m, delivering a 69.4% error reduction compared to classical PID control and an 89.6% reduction over physics-only MPC, while maintaining operational bounds.</w:t>
      </w:r>
    </w:p>
    <w:p>
      <w:pPr>
        <w:keepNext/>
        <w:spacing w:before="240" w:after="80"/>
      </w:pPr>
      <w:r>
        <w:rPr>
          <w:rFonts w:ascii="Times New Roman" w:hAnsi="Times New Roman"/>
          <w:b/>
          <w:color w:val="003366"/>
          <w:sz w:val="26"/>
        </w:rPr>
        <w:t>6.2 Future Directions</w:t>
      </w:r>
    </w:p>
    <w:p>
      <w:pPr>
        <w:pStyle w:val="ListBullet"/>
        <w:spacing w:after="60" w:line="276" w:lineRule="auto"/>
      </w:pPr>
      <w:r>
        <w:rPr>
          <w:rFonts w:ascii="Times New Roman" w:hAnsi="Times New Roman"/>
          <w:sz w:val="22"/>
        </w:rPr>
        <w:t>1. Sensor Pre-Filtering (EKF / UKF): Implement an Extended Kalman Filter to fuse DVL, USBL, and INS data, cleaning acoustic jumps before neural network ingestion.</w:t>
      </w:r>
    </w:p>
    <w:p>
      <w:pPr>
        <w:pStyle w:val="ListBullet"/>
        <w:spacing w:after="60" w:line="276" w:lineRule="auto"/>
      </w:pPr>
      <w:r>
        <w:rPr>
          <w:rFonts w:ascii="Times New Roman" w:hAnsi="Times New Roman"/>
          <w:sz w:val="22"/>
        </w:rPr>
        <w:t>2. Adaptive Hydrodynamic Identification: Integrate Recursive Least Squares (RLS) to update the baseline drag coefficient Kd adaptively during mission execution.</w:t>
      </w:r>
    </w:p>
    <w:p>
      <w:pPr>
        <w:pStyle w:val="ListBullet"/>
        <w:spacing w:after="60" w:line="276" w:lineRule="auto"/>
      </w:pPr>
      <w:r>
        <w:rPr>
          <w:rFonts w:ascii="Times New Roman" w:hAnsi="Times New Roman"/>
          <w:sz w:val="22"/>
        </w:rPr>
        <w:t>3. Hardware-in-the-Loop (HIL) Deployment: Port the vectorized PyTorch CEM-MPC optimizer onto an embedded NVIDIA Jetson Orin platform to validate real-time execution speeds under 100 ms control loops.</w:t>
      </w:r>
    </w:p>
    <w:p>
      <w:pPr>
        <w:keepNext/>
        <w:spacing w:before="360" w:after="120"/>
      </w:pPr>
      <w:r>
        <w:rPr>
          <w:rFonts w:ascii="Times New Roman" w:hAnsi="Times New Roman"/>
          <w:b/>
          <w:color w:val="8B0000"/>
          <w:sz w:val="32"/>
        </w:rPr>
        <w:t>CHAPTER 7: REFERENCES</w:t>
      </w:r>
    </w:p>
    <w:p>
      <w:pPr>
        <w:spacing w:after="80"/>
        <w:ind w:left="576" w:hanging="576"/>
      </w:pPr>
      <w:r>
        <w:rPr>
          <w:rFonts w:ascii="Times New Roman" w:hAnsi="Times New Roman"/>
          <w:sz w:val="20"/>
        </w:rPr>
        <w:t>1. Fossen, T. I. (2011). Handbook of Marine Craft Hydrodynamics and Motion Control. John Wiley &amp; Sons.</w:t>
      </w:r>
    </w:p>
    <w:p>
      <w:pPr>
        <w:spacing w:after="80"/>
        <w:ind w:left="576" w:hanging="576"/>
      </w:pPr>
      <w:r>
        <w:rPr>
          <w:rFonts w:ascii="Times New Roman" w:hAnsi="Times New Roman"/>
          <w:sz w:val="20"/>
        </w:rPr>
        <w:t>2. McPhail, S. D., et al. (2010). 'Autosub6000: A Deep Diving Autonomous Underwater Vehicle for Oceanographic Science.' IEEE/OES AUV, Monterey, CA, pp. 1–6.</w:t>
      </w:r>
    </w:p>
    <w:p>
      <w:pPr>
        <w:spacing w:after="80"/>
        <w:ind w:left="576" w:hanging="576"/>
      </w:pPr>
      <w:r>
        <w:rPr>
          <w:rFonts w:ascii="Times New Roman" w:hAnsi="Times New Roman"/>
          <w:sz w:val="20"/>
        </w:rPr>
        <w:t>3. Williams, D. P., &amp; Fakiris, E. (2020). 'AURORA: Multi-Sensor Autonomous Underwater Vehicle Dataset.' IEEE DataPort, doi: 10.21227/aurora-m86.</w:t>
      </w:r>
    </w:p>
    <w:p>
      <w:pPr>
        <w:spacing w:after="80"/>
        <w:ind w:left="576" w:hanging="576"/>
      </w:pPr>
      <w:r>
        <w:rPr>
          <w:rFonts w:ascii="Times New Roman" w:hAnsi="Times New Roman"/>
          <w:sz w:val="20"/>
        </w:rPr>
        <w:t>4. Camacho, E. F., &amp; Alba, C. B. (2013). Model Predictive Control. Springer Science &amp; Business Media.</w:t>
      </w:r>
    </w:p>
    <w:p>
      <w:pPr>
        <w:spacing w:after="80"/>
        <w:ind w:left="576" w:hanging="576"/>
      </w:pPr>
      <w:r>
        <w:rPr>
          <w:rFonts w:ascii="Times New Roman" w:hAnsi="Times New Roman"/>
          <w:sz w:val="20"/>
        </w:rPr>
        <w:t>5. Rubinstein, R. Y., &amp; Kroese, D. P. (2004). The Cross-Entropy Method: A Unified Approach to Combinatorial Optimization, Monte Carlo Simulation and Machine Learning. Springer.</w:t>
      </w:r>
    </w:p>
    <w:p>
      <w:pPr>
        <w:spacing w:after="80"/>
        <w:ind w:left="576" w:hanging="576"/>
      </w:pPr>
      <w:r>
        <w:rPr>
          <w:rFonts w:ascii="Times New Roman" w:hAnsi="Times New Roman"/>
          <w:sz w:val="20"/>
        </w:rPr>
        <w:t>6. Hochreiter, S., &amp; Schmidhuber, J. (1997). 'Long Short-Term Memory.' Neural Computation, 9(8), pp. 1735–1780.</w:t>
      </w:r>
    </w:p>
    <w:p>
      <w:pPr>
        <w:spacing w:after="80"/>
        <w:ind w:left="576" w:hanging="576"/>
      </w:pPr>
      <w:r>
        <w:rPr>
          <w:rFonts w:ascii="Times New Roman" w:hAnsi="Times New Roman"/>
          <w:sz w:val="20"/>
        </w:rPr>
        <w:t>7. Cho, K., et al. (2014). 'Learning Phrase Representations using RNN Encoder-Decoder for Statistical Machine Translation.' arXiv:1406.1078.</w:t>
      </w:r>
    </w:p>
    <w:p>
      <w:pPr>
        <w:spacing w:after="80"/>
        <w:ind w:left="576" w:hanging="576"/>
      </w:pPr>
      <w:r>
        <w:rPr>
          <w:rFonts w:ascii="Times New Roman" w:hAnsi="Times New Roman"/>
          <w:sz w:val="20"/>
        </w:rPr>
        <w:t>8. Paszke, A., et al. (2019). 'PyTorch: An Imperative Style, High-Performance Deep Learning Library.' Advances in Neural Information Processing Systems (NeurIPS), 32.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