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4"/>
        </w:rPr>
        <w:t>Learning-Based Dynamic Modeling of an Autonomous Underwater Vehicle (AUV)</w:t>
      </w:r>
    </w:p>
    <w:p>
      <w:pPr>
        <w:spacing w:after="280"/>
        <w:jc w:val="center"/>
      </w:pPr>
      <w:r>
        <w:rPr>
          <w:rFonts w:ascii="Arial" w:hAnsi="Arial"/>
          <w:color w:val="4A5568"/>
          <w:sz w:val="26"/>
        </w:rPr>
        <w:t>Phase 1 Project Report &amp; Presentation Comprehensive Dossier</w:t>
        <w:br/>
        <w:t>Hydrodynamic Kinematics, Telemetry EDA, and Deep Residual GRU Networks</w:t>
      </w:r>
    </w:p>
    <w:p>
      <w:pPr>
        <w:spacing w:after="320"/>
        <w:jc w:val="center"/>
      </w:pPr>
      <w:r>
        <w:rPr>
          <w:rFonts w:ascii="Arial" w:hAnsi="Arial"/>
          <w:b/>
          <w:color w:val="2B6CB0"/>
          <w:sz w:val="19"/>
        </w:rPr>
        <w:t>Robotics Semester 5 Project | Platform: Autosub6000 (AURORA Mission M86) | Status: Complete</w:t>
      </w:r>
    </w:p>
    <w:p>
      <w:pPr>
        <w:spacing w:after="200"/>
        <w:jc w:val="center"/>
      </w:pPr>
      <w:r>
        <w:rPr>
          <w:color w:val="CBD5E0"/>
        </w:rPr>
        <w:t>――――――――――――――――――――――――――――――――――――――――――――――――――――――――――</w:t>
      </w:r>
    </w:p>
    <w:p>
      <w:pPr>
        <w:keepNext/>
        <w:spacing w:before="320" w:after="120"/>
      </w:pPr>
      <w:r>
        <w:rPr>
          <w:rFonts w:ascii="Arial" w:hAnsi="Arial"/>
          <w:b/>
          <w:color w:val="1A365D"/>
          <w:sz w:val="32"/>
        </w:rPr>
        <w:t>Executive Summary</w:t>
      </w:r>
    </w:p>
    <w:p>
      <w:pPr>
        <w:spacing w:before="0" w:after="80" w:line="276" w:lineRule="auto"/>
      </w:pPr>
      <w:r>
        <w:rPr>
          <w:rFonts w:ascii="Arial" w:hAnsi="Arial"/>
          <w:color w:val="2D3748"/>
          <w:sz w:val="21"/>
        </w:rPr>
        <w:t>Autonomous Underwater Vehicles (AUVs) operating in real ocean environments experience highly complex, nonlinear hydrodynamic forces that analytical physics equations fail to capture accurately. Unmodeled thruster deadbands, control-surface deflection lags, wave action, and variable buoyancy lead to substantial cumulative drift when relying solely on rigid-body kinematics.</w:t>
      </w:r>
    </w:p>
    <w:p>
      <w:pPr>
        <w:spacing w:before="0" w:after="80" w:line="276" w:lineRule="auto"/>
      </w:pPr>
      <w:r>
        <w:rPr>
          <w:rFonts w:ascii="Arial" w:hAnsi="Arial"/>
          <w:color w:val="2D3748"/>
          <w:sz w:val="21"/>
        </w:rPr>
        <w:t>In Phase 1 of this project, we designed and experimentally validated a Hybrid Physics-AI Modeling Framework using real-world telemetry logged during the Autosub6000 AUV Mission M86 (recorded at 0.50 Hz / dt = 2.0 s). Instead of replacing physics principles with a black-box model, our architecture uses a nominal 3D kinematics baseline combined with a 2-Layer Recurrent Gated Recurrent Unit (GRU) trained strictly to predict residual mismatches: R(t) = X_actual(t+1) - X_physics(t+1).</w:t>
      </w:r>
    </w:p>
    <w:tbl>
      <w:tblPr>
        <w:tblW w:type="auto" w:w="0"/>
        <w:jc w:val="center"/>
        <w:tblLayout w:type="fixed"/>
        <w:tblLook w:firstColumn="1" w:firstRow="1" w:lastColumn="0" w:lastRow="0" w:noHBand="0" w:noVBand="1" w:val="04A0"/>
      </w:tblPr>
      <w:tblGrid>
        <w:gridCol w:w="10080"/>
      </w:tblGrid>
      <w:tr>
        <w:tc>
          <w:tcPr>
            <w:tcW w:type="dxa" w:w="9360"/>
            <w:shd w:fill="EDF2F7"/>
            <w:tcMar>
              <w:top w:w="140" w:type="dxa"/>
              <w:bottom w:w="140" w:type="dxa"/>
              <w:left w:w="180" w:type="dxa"/>
              <w:right w:w="180" w:type="dxa"/>
            </w:tcMar>
            <w:tcBorders>
              <w:top w:val="single" w:sz="4" w:color="CBD5E0"/>
              <w:left w:val="single" w:sz="24" w:color="2B6CB0"/>
              <w:bottom w:val="single" w:sz="4" w:color="CBD5E0"/>
              <w:right w:val="single" w:sz="4" w:color="CBD5E0"/>
            </w:tcBorders>
          </w:tcPr>
          <w:p>
            <w:pPr>
              <w:spacing w:after="60"/>
            </w:pPr>
            <w:r>
              <w:rPr>
                <w:rFonts w:ascii="Arial" w:hAnsi="Arial"/>
                <w:b/>
                <w:color w:val="1A365D"/>
                <w:sz w:val="21"/>
              </w:rPr>
              <w:t>KEY HIGHLIGHT: Substantial Dynamics Improvements over Baseline</w:t>
              <w:br/>
            </w:r>
            <w:r>
              <w:rPr>
                <w:rFonts w:ascii="Arial" w:hAnsi="Arial"/>
                <w:color w:val="2D3748"/>
                <w:sz w:val="20"/>
              </w:rPr>
              <w:t>Evaluated on 4,792 unseen future test samples, the Hybrid Physics+GRU network achieved dramatic error reductions over pure physics: Pitch Angle RMSE improved by 15.48%, Operating Depth RMSE improved by 12.45%, and Heading Angle RMSE improved by 12.03%. Multi-step autoregressive trajectory simulations demonstrate that hybrid modeling preserves physical plausibility while eliminating cumulative dynamic drift.</w:t>
            </w:r>
          </w:p>
        </w:tc>
      </w:tr>
    </w:tbl>
    <w:p>
      <w:pPr>
        <w:spacing w:after="120"/>
      </w:pPr>
    </w:p>
    <w:p>
      <w:pPr>
        <w:keepNext/>
        <w:spacing w:before="320" w:after="120"/>
      </w:pPr>
      <w:r>
        <w:rPr>
          <w:rFonts w:ascii="Arial" w:hAnsi="Arial"/>
          <w:b/>
          <w:color w:val="1A365D"/>
          <w:sz w:val="32"/>
        </w:rPr>
        <w:t>1. Dataset Specifications &amp; Zero-Leakage Splitting</w:t>
      </w:r>
    </w:p>
    <w:p>
      <w:pPr>
        <w:spacing w:before="0" w:after="80" w:line="276" w:lineRule="auto"/>
      </w:pPr>
      <w:r>
        <w:rPr>
          <w:rFonts w:ascii="Arial" w:hAnsi="Arial"/>
          <w:color w:val="2D3748"/>
          <w:sz w:val="21"/>
        </w:rPr>
        <w:t>The project utilizes sensor telemetry from Autosub6000 Mission M86, an operational ocean survey vehicle. The vehicle logged high-rate navigation data using a Doppler Velocity Log (DVL), an Inertial Measurement Unit (IMU), pressure depth transducers, and Ultra-Short Baseline (USBL) acoustic positioning transponders.</w:t>
      </w:r>
    </w:p>
    <w:p>
      <w:pPr>
        <w:pStyle w:val="ListBullet"/>
        <w:spacing w:before="0" w:after="60" w:line="276" w:lineRule="auto"/>
      </w:pPr>
      <w:r>
        <w:rPr>
          <w:rFonts w:ascii="Arial" w:hAnsi="Arial"/>
          <w:b/>
          <w:color w:val="1A202C"/>
          <w:sz w:val="21"/>
        </w:rPr>
        <w:t xml:space="preserve">Dataset Source: </w:t>
      </w:r>
      <w:r>
        <w:rPr>
          <w:rFonts w:ascii="Arial" w:hAnsi="Arial"/>
          <w:color w:val="2D3748"/>
          <w:sz w:val="21"/>
        </w:rPr>
        <w:t>Raw Telemetry Source: IEEE DataPort Autosub6000 Mission M86 multibeam echosounder logs.</w:t>
      </w:r>
    </w:p>
    <w:p>
      <w:pPr>
        <w:pStyle w:val="ListBullet"/>
        <w:spacing w:before="0" w:after="60" w:line="276" w:lineRule="auto"/>
      </w:pPr>
      <w:r>
        <w:rPr>
          <w:rFonts w:ascii="Arial" w:hAnsi="Arial"/>
          <w:b/>
          <w:color w:val="1A202C"/>
          <w:sz w:val="21"/>
        </w:rPr>
        <w:t xml:space="preserve">Cleaned Sample Volume: </w:t>
      </w:r>
      <w:r>
        <w:rPr>
          <w:rFonts w:ascii="Arial" w:hAnsi="Arial"/>
          <w:color w:val="2D3748"/>
          <w:sz w:val="21"/>
        </w:rPr>
        <w:t>31,944 verified samples logged every 2.00 seconds (0.50 Hz sampling frequency).</w:t>
      </w:r>
    </w:p>
    <w:p>
      <w:pPr>
        <w:pStyle w:val="ListBullet"/>
        <w:spacing w:before="0" w:after="60" w:line="276" w:lineRule="auto"/>
      </w:pPr>
      <w:r>
        <w:rPr>
          <w:rFonts w:ascii="Arial" w:hAnsi="Arial"/>
          <w:b/>
          <w:color w:val="1A202C"/>
          <w:sz w:val="21"/>
        </w:rPr>
        <w:t xml:space="preserve">Temporal Partitioning: </w:t>
      </w:r>
      <w:r>
        <w:rPr>
          <w:rFonts w:ascii="Arial" w:hAnsi="Arial"/>
          <w:color w:val="2D3748"/>
          <w:sz w:val="21"/>
        </w:rPr>
        <w:t>Strict chronological train/validation/test ordering ensuring zero future data leakage.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2B6CB0"/>
            <w:tcMar>
              <w:top w:w="100" w:type="dxa"/>
              <w:bottom w:w="100" w:type="dxa"/>
              <w:left w:w="120" w:type="dxa"/>
              <w:right w:w="120" w:type="dxa"/>
            </w:tcMar>
          </w:tcPr>
          <w:p>
            <w:pPr>
              <w:jc w:val="center"/>
            </w:pPr>
            <w:r>
              <w:rPr>
                <w:rFonts w:ascii="Arial" w:hAnsi="Arial"/>
                <w:b/>
                <w:color w:val="FFFFFF"/>
                <w:sz w:val="19"/>
              </w:rPr>
              <w:t>Split Segment</w:t>
            </w:r>
          </w:p>
        </w:tc>
        <w:tc>
          <w:tcPr>
            <w:tcW w:type="dxa" w:w="2016"/>
            <w:shd w:fill="2B6CB0"/>
            <w:tcMar>
              <w:top w:w="100" w:type="dxa"/>
              <w:bottom w:w="100" w:type="dxa"/>
              <w:left w:w="120" w:type="dxa"/>
              <w:right w:w="120" w:type="dxa"/>
            </w:tcMar>
          </w:tcPr>
          <w:p>
            <w:pPr>
              <w:jc w:val="center"/>
            </w:pPr>
            <w:r>
              <w:rPr>
                <w:rFonts w:ascii="Arial" w:hAnsi="Arial"/>
                <w:b/>
                <w:color w:val="FFFFFF"/>
                <w:sz w:val="19"/>
              </w:rPr>
              <w:t>Sample Count</w:t>
            </w:r>
          </w:p>
        </w:tc>
        <w:tc>
          <w:tcPr>
            <w:tcW w:type="dxa" w:w="2016"/>
            <w:shd w:fill="2B6CB0"/>
            <w:tcMar>
              <w:top w:w="100" w:type="dxa"/>
              <w:bottom w:w="100" w:type="dxa"/>
              <w:left w:w="120" w:type="dxa"/>
              <w:right w:w="120" w:type="dxa"/>
            </w:tcMar>
          </w:tcPr>
          <w:p>
            <w:pPr>
              <w:jc w:val="center"/>
            </w:pPr>
            <w:r>
              <w:rPr>
                <w:rFonts w:ascii="Arial" w:hAnsi="Arial"/>
                <w:b/>
                <w:color w:val="FFFFFF"/>
                <w:sz w:val="19"/>
              </w:rPr>
              <w:t>Percentage</w:t>
            </w:r>
          </w:p>
        </w:tc>
        <w:tc>
          <w:tcPr>
            <w:tcW w:type="dxa" w:w="2016"/>
            <w:shd w:fill="2B6CB0"/>
            <w:tcMar>
              <w:top w:w="100" w:type="dxa"/>
              <w:bottom w:w="100" w:type="dxa"/>
              <w:left w:w="120" w:type="dxa"/>
              <w:right w:w="120" w:type="dxa"/>
            </w:tcMar>
          </w:tcPr>
          <w:p>
            <w:pPr>
              <w:jc w:val="center"/>
            </w:pPr>
            <w:r>
              <w:rPr>
                <w:rFonts w:ascii="Arial" w:hAnsi="Arial"/>
                <w:b/>
                <w:color w:val="FFFFFF"/>
                <w:sz w:val="19"/>
              </w:rPr>
              <w:t>Row Index Range</w:t>
            </w:r>
          </w:p>
        </w:tc>
        <w:tc>
          <w:tcPr>
            <w:tcW w:type="dxa" w:w="2016"/>
            <w:shd w:fill="2B6CB0"/>
            <w:tcMar>
              <w:top w:w="100" w:type="dxa"/>
              <w:bottom w:w="100" w:type="dxa"/>
              <w:left w:w="120" w:type="dxa"/>
              <w:right w:w="120" w:type="dxa"/>
            </w:tcMar>
          </w:tcPr>
          <w:p>
            <w:pPr>
              <w:jc w:val="center"/>
            </w:pPr>
            <w:r>
              <w:rPr>
                <w:rFonts w:ascii="Arial" w:hAnsi="Arial"/>
                <w:b/>
                <w:color w:val="FFFFFF"/>
                <w:sz w:val="19"/>
              </w:rPr>
              <w:t>Mission Elapsed Time</w:t>
            </w:r>
          </w:p>
        </w:tc>
      </w:tr>
      <w:tr>
        <w:tc>
          <w:tcPr>
            <w:tcW w:type="dxa" w:w="2016"/>
            <w:shd w:fill="FFFFFF"/>
            <w:tcMar>
              <w:top w:w="80" w:type="dxa"/>
              <w:bottom w:w="80" w:type="dxa"/>
              <w:left w:w="100" w:type="dxa"/>
              <w:right w:w="100" w:type="dxa"/>
            </w:tcMar>
            <w:tcBorders>
              <w:bottom w:val="single" w:sz="4" w:color="E2E8F0"/>
            </w:tcBorders>
          </w:tcPr>
          <w:p>
            <w:pPr>
              <w:jc w:val="left"/>
            </w:pPr>
            <w:r>
              <w:rPr>
                <w:rFonts w:ascii="Arial" w:hAnsi="Arial"/>
                <w:b/>
                <w:color w:val="2D3748"/>
                <w:sz w:val="18"/>
              </w:rPr>
              <w:t>Training Set</w:t>
            </w:r>
          </w:p>
        </w:tc>
        <w:tc>
          <w:tcPr>
            <w:tcW w:type="dxa" w:w="2016"/>
            <w:shd w:fill="FFFFFF"/>
            <w:tcMar>
              <w:top w:w="80" w:type="dxa"/>
              <w:bottom w:w="80" w:type="dxa"/>
              <w:left w:w="100" w:type="dxa"/>
              <w:right w:w="100" w:type="dxa"/>
            </w:tcMar>
            <w:tcBorders>
              <w:bottom w:val="single" w:sz="4" w:color="E2E8F0"/>
            </w:tcBorders>
          </w:tcPr>
          <w:p>
            <w:pPr>
              <w:jc w:val="center"/>
            </w:pPr>
            <w:r>
              <w:rPr>
                <w:rFonts w:ascii="Arial" w:hAnsi="Arial"/>
                <w:color w:val="2D3748"/>
                <w:sz w:val="18"/>
              </w:rPr>
              <w:t>22,360</w:t>
            </w:r>
          </w:p>
        </w:tc>
        <w:tc>
          <w:tcPr>
            <w:tcW w:type="dxa" w:w="2016"/>
            <w:shd w:fill="FFFFFF"/>
            <w:tcMar>
              <w:top w:w="80" w:type="dxa"/>
              <w:bottom w:w="80" w:type="dxa"/>
              <w:left w:w="100" w:type="dxa"/>
              <w:right w:w="100" w:type="dxa"/>
            </w:tcMar>
            <w:tcBorders>
              <w:bottom w:val="single" w:sz="4" w:color="E2E8F0"/>
            </w:tcBorders>
          </w:tcPr>
          <w:p>
            <w:pPr>
              <w:jc w:val="center"/>
            </w:pPr>
            <w:r>
              <w:rPr>
                <w:rFonts w:ascii="Arial" w:hAnsi="Arial"/>
                <w:color w:val="2D3748"/>
                <w:sz w:val="18"/>
              </w:rPr>
              <w:t>70.0%</w:t>
            </w:r>
          </w:p>
        </w:tc>
        <w:tc>
          <w:tcPr>
            <w:tcW w:type="dxa" w:w="2016"/>
            <w:shd w:fill="FFFFFF"/>
            <w:tcMar>
              <w:top w:w="80" w:type="dxa"/>
              <w:bottom w:w="80" w:type="dxa"/>
              <w:left w:w="100" w:type="dxa"/>
              <w:right w:w="100" w:type="dxa"/>
            </w:tcMar>
            <w:tcBorders>
              <w:bottom w:val="single" w:sz="4" w:color="E2E8F0"/>
            </w:tcBorders>
          </w:tcPr>
          <w:p>
            <w:pPr>
              <w:jc w:val="left"/>
            </w:pPr>
            <w:r>
              <w:rPr>
                <w:rFonts w:ascii="Arial" w:hAnsi="Arial"/>
                <w:color w:val="2D3748"/>
                <w:sz w:val="18"/>
              </w:rPr>
              <w:t>0 to 22,359</w:t>
            </w:r>
          </w:p>
        </w:tc>
        <w:tc>
          <w:tcPr>
            <w:tcW w:type="dxa" w:w="2016"/>
            <w:shd w:fill="FFFFFF"/>
            <w:tcMar>
              <w:top w:w="80" w:type="dxa"/>
              <w:bottom w:w="80" w:type="dxa"/>
              <w:left w:w="100" w:type="dxa"/>
              <w:right w:w="100" w:type="dxa"/>
            </w:tcMar>
            <w:tcBorders>
              <w:bottom w:val="single" w:sz="4" w:color="E2E8F0"/>
            </w:tcBorders>
          </w:tcPr>
          <w:p>
            <w:pPr>
              <w:jc w:val="left"/>
            </w:pPr>
            <w:r>
              <w:rPr>
                <w:rFonts w:ascii="Arial" w:hAnsi="Arial"/>
                <w:color w:val="2D3748"/>
                <w:sz w:val="18"/>
              </w:rPr>
              <w:t>0.0 h to 12.4 h</w:t>
            </w:r>
          </w:p>
        </w:tc>
      </w:tr>
      <w:tr>
        <w:tc>
          <w:tcPr>
            <w:tcW w:type="dxa" w:w="2016"/>
            <w:shd w:fill="F7FAFC"/>
            <w:tcMar>
              <w:top w:w="80" w:type="dxa"/>
              <w:bottom w:w="80" w:type="dxa"/>
              <w:left w:w="100" w:type="dxa"/>
              <w:right w:w="100" w:type="dxa"/>
            </w:tcMar>
            <w:tcBorders>
              <w:bottom w:val="single" w:sz="4" w:color="E2E8F0"/>
            </w:tcBorders>
          </w:tcPr>
          <w:p>
            <w:pPr>
              <w:jc w:val="left"/>
            </w:pPr>
            <w:r>
              <w:rPr>
                <w:rFonts w:ascii="Arial" w:hAnsi="Arial"/>
                <w:b/>
                <w:color w:val="2D3748"/>
                <w:sz w:val="18"/>
              </w:rPr>
              <w:t>Validation Set</w:t>
            </w:r>
          </w:p>
        </w:tc>
        <w:tc>
          <w:tcPr>
            <w:tcW w:type="dxa" w:w="2016"/>
            <w:shd w:fill="F7FAFC"/>
            <w:tcMar>
              <w:top w:w="80" w:type="dxa"/>
              <w:bottom w:w="80" w:type="dxa"/>
              <w:left w:w="100" w:type="dxa"/>
              <w:right w:w="100" w:type="dxa"/>
            </w:tcMar>
            <w:tcBorders>
              <w:bottom w:val="single" w:sz="4" w:color="E2E8F0"/>
            </w:tcBorders>
          </w:tcPr>
          <w:p>
            <w:pPr>
              <w:jc w:val="center"/>
            </w:pPr>
            <w:r>
              <w:rPr>
                <w:rFonts w:ascii="Arial" w:hAnsi="Arial"/>
                <w:color w:val="2D3748"/>
                <w:sz w:val="18"/>
              </w:rPr>
              <w:t>4,792</w:t>
            </w:r>
          </w:p>
        </w:tc>
        <w:tc>
          <w:tcPr>
            <w:tcW w:type="dxa" w:w="2016"/>
            <w:shd w:fill="F7FAFC"/>
            <w:tcMar>
              <w:top w:w="80" w:type="dxa"/>
              <w:bottom w:w="80" w:type="dxa"/>
              <w:left w:w="100" w:type="dxa"/>
              <w:right w:w="100" w:type="dxa"/>
            </w:tcMar>
            <w:tcBorders>
              <w:bottom w:val="single" w:sz="4" w:color="E2E8F0"/>
            </w:tcBorders>
          </w:tcPr>
          <w:p>
            <w:pPr>
              <w:jc w:val="center"/>
            </w:pPr>
            <w:r>
              <w:rPr>
                <w:rFonts w:ascii="Arial" w:hAnsi="Arial"/>
                <w:color w:val="2D3748"/>
                <w:sz w:val="18"/>
              </w:rPr>
              <w:t>15.0%</w:t>
            </w:r>
          </w:p>
        </w:tc>
        <w:tc>
          <w:tcPr>
            <w:tcW w:type="dxa" w:w="2016"/>
            <w:shd w:fill="F7FAFC"/>
            <w:tcMar>
              <w:top w:w="80" w:type="dxa"/>
              <w:bottom w:w="80" w:type="dxa"/>
              <w:left w:w="100" w:type="dxa"/>
              <w:right w:w="100" w:type="dxa"/>
            </w:tcMar>
            <w:tcBorders>
              <w:bottom w:val="single" w:sz="4" w:color="E2E8F0"/>
            </w:tcBorders>
          </w:tcPr>
          <w:p>
            <w:pPr>
              <w:jc w:val="left"/>
            </w:pPr>
            <w:r>
              <w:rPr>
                <w:rFonts w:ascii="Arial" w:hAnsi="Arial"/>
                <w:color w:val="2D3748"/>
                <w:sz w:val="18"/>
              </w:rPr>
              <w:t>22,360 to 27,151</w:t>
            </w:r>
          </w:p>
        </w:tc>
        <w:tc>
          <w:tcPr>
            <w:tcW w:type="dxa" w:w="2016"/>
            <w:shd w:fill="F7FAFC"/>
            <w:tcMar>
              <w:top w:w="80" w:type="dxa"/>
              <w:bottom w:w="80" w:type="dxa"/>
              <w:left w:w="100" w:type="dxa"/>
              <w:right w:w="100" w:type="dxa"/>
            </w:tcMar>
            <w:tcBorders>
              <w:bottom w:val="single" w:sz="4" w:color="E2E8F0"/>
            </w:tcBorders>
          </w:tcPr>
          <w:p>
            <w:pPr>
              <w:jc w:val="left"/>
            </w:pPr>
            <w:r>
              <w:rPr>
                <w:rFonts w:ascii="Arial" w:hAnsi="Arial"/>
                <w:color w:val="2D3748"/>
                <w:sz w:val="18"/>
              </w:rPr>
              <w:t>12.4 h to 15.1 h</w:t>
            </w:r>
          </w:p>
        </w:tc>
      </w:tr>
      <w:tr>
        <w:tc>
          <w:tcPr>
            <w:tcW w:type="dxa" w:w="2016"/>
            <w:shd w:fill="FFFFFF"/>
            <w:tcMar>
              <w:top w:w="80" w:type="dxa"/>
              <w:bottom w:w="80" w:type="dxa"/>
              <w:left w:w="100" w:type="dxa"/>
              <w:right w:w="100" w:type="dxa"/>
            </w:tcMar>
            <w:tcBorders>
              <w:bottom w:val="single" w:sz="4" w:color="E2E8F0"/>
            </w:tcBorders>
          </w:tcPr>
          <w:p>
            <w:pPr>
              <w:jc w:val="left"/>
            </w:pPr>
            <w:r>
              <w:rPr>
                <w:rFonts w:ascii="Arial" w:hAnsi="Arial"/>
                <w:b/>
                <w:color w:val="2D3748"/>
                <w:sz w:val="18"/>
              </w:rPr>
              <w:t>Testing Set (Unseen)</w:t>
            </w:r>
          </w:p>
        </w:tc>
        <w:tc>
          <w:tcPr>
            <w:tcW w:type="dxa" w:w="2016"/>
            <w:shd w:fill="FFFFFF"/>
            <w:tcMar>
              <w:top w:w="80" w:type="dxa"/>
              <w:bottom w:w="80" w:type="dxa"/>
              <w:left w:w="100" w:type="dxa"/>
              <w:right w:w="100" w:type="dxa"/>
            </w:tcMar>
            <w:tcBorders>
              <w:bottom w:val="single" w:sz="4" w:color="E2E8F0"/>
            </w:tcBorders>
          </w:tcPr>
          <w:p>
            <w:pPr>
              <w:jc w:val="center"/>
            </w:pPr>
            <w:r>
              <w:rPr>
                <w:rFonts w:ascii="Arial" w:hAnsi="Arial"/>
                <w:color w:val="2D3748"/>
                <w:sz w:val="18"/>
              </w:rPr>
              <w:t>4,792</w:t>
            </w:r>
          </w:p>
        </w:tc>
        <w:tc>
          <w:tcPr>
            <w:tcW w:type="dxa" w:w="2016"/>
            <w:shd w:fill="FFFFFF"/>
            <w:tcMar>
              <w:top w:w="80" w:type="dxa"/>
              <w:bottom w:w="80" w:type="dxa"/>
              <w:left w:w="100" w:type="dxa"/>
              <w:right w:w="100" w:type="dxa"/>
            </w:tcMar>
            <w:tcBorders>
              <w:bottom w:val="single" w:sz="4" w:color="E2E8F0"/>
            </w:tcBorders>
          </w:tcPr>
          <w:p>
            <w:pPr>
              <w:jc w:val="center"/>
            </w:pPr>
            <w:r>
              <w:rPr>
                <w:rFonts w:ascii="Arial" w:hAnsi="Arial"/>
                <w:color w:val="2D3748"/>
                <w:sz w:val="18"/>
              </w:rPr>
              <w:t>15.0%</w:t>
            </w:r>
          </w:p>
        </w:tc>
        <w:tc>
          <w:tcPr>
            <w:tcW w:type="dxa" w:w="2016"/>
            <w:shd w:fill="FFFFFF"/>
            <w:tcMar>
              <w:top w:w="80" w:type="dxa"/>
              <w:bottom w:w="80" w:type="dxa"/>
              <w:left w:w="100" w:type="dxa"/>
              <w:right w:w="100" w:type="dxa"/>
            </w:tcMar>
            <w:tcBorders>
              <w:bottom w:val="single" w:sz="4" w:color="E2E8F0"/>
            </w:tcBorders>
          </w:tcPr>
          <w:p>
            <w:pPr>
              <w:jc w:val="left"/>
            </w:pPr>
            <w:r>
              <w:rPr>
                <w:rFonts w:ascii="Arial" w:hAnsi="Arial"/>
                <w:color w:val="2D3748"/>
                <w:sz w:val="18"/>
              </w:rPr>
              <w:t>27,152 to 31,943</w:t>
            </w:r>
          </w:p>
        </w:tc>
        <w:tc>
          <w:tcPr>
            <w:tcW w:type="dxa" w:w="2016"/>
            <w:shd w:fill="FFFFFF"/>
            <w:tcMar>
              <w:top w:w="80" w:type="dxa"/>
              <w:bottom w:w="80" w:type="dxa"/>
              <w:left w:w="100" w:type="dxa"/>
              <w:right w:w="100" w:type="dxa"/>
            </w:tcMar>
            <w:tcBorders>
              <w:bottom w:val="single" w:sz="4" w:color="E2E8F0"/>
            </w:tcBorders>
          </w:tcPr>
          <w:p>
            <w:pPr>
              <w:jc w:val="left"/>
            </w:pPr>
            <w:r>
              <w:rPr>
                <w:rFonts w:ascii="Arial" w:hAnsi="Arial"/>
                <w:color w:val="2D3748"/>
                <w:sz w:val="18"/>
              </w:rPr>
              <w:t>15.1 h to 17.7 h</w:t>
            </w:r>
          </w:p>
        </w:tc>
      </w:tr>
    </w:tbl>
    <w:p>
      <w:pPr>
        <w:spacing w:after="120"/>
      </w:pPr>
    </w:p>
    <w:p>
      <w:pPr>
        <w:keepNext/>
        <w:spacing w:before="320" w:after="120"/>
      </w:pPr>
      <w:r>
        <w:rPr>
          <w:rFonts w:ascii="Arial" w:hAnsi="Arial"/>
          <w:b/>
          <w:color w:val="1A365D"/>
          <w:sz w:val="32"/>
        </w:rPr>
        <w:t>2. Exploratory Data Analysis (EDA)</w:t>
      </w:r>
    </w:p>
    <w:p>
      <w:pPr>
        <w:spacing w:before="0" w:after="80" w:line="276" w:lineRule="auto"/>
      </w:pPr>
      <w:r>
        <w:rPr>
          <w:rFonts w:ascii="Arial" w:hAnsi="Arial"/>
          <w:color w:val="2D3748"/>
          <w:sz w:val="21"/>
        </w:rPr>
        <w:t>Rigorous exploratory data analysis was conducted on the full continuous mission telemetry to characterize vehicle operating envelopes, detect measurement noise, and establish physical consistency before training neural networks.</w:t>
      </w:r>
    </w:p>
    <w:p>
      <w:pPr>
        <w:keepNext/>
        <w:spacing w:before="240" w:after="80"/>
      </w:pPr>
      <w:r>
        <w:rPr>
          <w:rFonts w:ascii="Arial" w:hAnsi="Arial"/>
          <w:b/>
          <w:color w:val="2B6CB0"/>
          <w:sz w:val="26"/>
        </w:rPr>
        <w:t>2.1 Telemetry Summary Statistics</w:t>
      </w:r>
    </w:p>
    <w:p>
      <w:pPr>
        <w:spacing w:before="0" w:after="80" w:line="276" w:lineRule="auto"/>
      </w:pPr>
      <w:r>
        <w:rPr>
          <w:rFonts w:ascii="Arial" w:hAnsi="Arial"/>
          <w:color w:val="2D3748"/>
          <w:sz w:val="21"/>
        </w:rPr>
        <w:t>Table 1 outlines the empirical distribution metrics for all seven primary AUV state variables across the 31,944 telemetry samples.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2B6CB0"/>
            <w:tcMar>
              <w:top w:w="80" w:type="dxa"/>
              <w:bottom w:w="80" w:type="dxa"/>
              <w:left w:w="80" w:type="dxa"/>
              <w:right w:w="80" w:type="dxa"/>
            </w:tcMar>
          </w:tcPr>
          <w:p>
            <w:pPr>
              <w:jc w:val="center"/>
            </w:pPr>
            <w:r>
              <w:rPr>
                <w:rFonts w:ascii="Arial" w:hAnsi="Arial"/>
                <w:b/>
                <w:color w:val="FFFFFF"/>
                <w:sz w:val="17"/>
              </w:rPr>
              <w:t>State Variable</w:t>
            </w:r>
          </w:p>
        </w:tc>
        <w:tc>
          <w:tcPr>
            <w:tcW w:type="dxa" w:w="1260"/>
            <w:shd w:fill="2B6CB0"/>
            <w:tcMar>
              <w:top w:w="80" w:type="dxa"/>
              <w:bottom w:w="80" w:type="dxa"/>
              <w:left w:w="80" w:type="dxa"/>
              <w:right w:w="80" w:type="dxa"/>
            </w:tcMar>
          </w:tcPr>
          <w:p>
            <w:pPr>
              <w:jc w:val="center"/>
            </w:pPr>
            <w:r>
              <w:rPr>
                <w:rFonts w:ascii="Arial" w:hAnsi="Arial"/>
                <w:b/>
                <w:color w:val="FFFFFF"/>
                <w:sz w:val="17"/>
              </w:rPr>
              <w:t>Mean</w:t>
            </w:r>
          </w:p>
        </w:tc>
        <w:tc>
          <w:tcPr>
            <w:tcW w:type="dxa" w:w="1260"/>
            <w:shd w:fill="2B6CB0"/>
            <w:tcMar>
              <w:top w:w="80" w:type="dxa"/>
              <w:bottom w:w="80" w:type="dxa"/>
              <w:left w:w="80" w:type="dxa"/>
              <w:right w:w="80" w:type="dxa"/>
            </w:tcMar>
          </w:tcPr>
          <w:p>
            <w:pPr>
              <w:jc w:val="center"/>
            </w:pPr>
            <w:r>
              <w:rPr>
                <w:rFonts w:ascii="Arial" w:hAnsi="Arial"/>
                <w:b/>
                <w:color w:val="FFFFFF"/>
                <w:sz w:val="17"/>
              </w:rPr>
              <w:t>Std Dev</w:t>
            </w:r>
          </w:p>
        </w:tc>
        <w:tc>
          <w:tcPr>
            <w:tcW w:type="dxa" w:w="1260"/>
            <w:shd w:fill="2B6CB0"/>
            <w:tcMar>
              <w:top w:w="80" w:type="dxa"/>
              <w:bottom w:w="80" w:type="dxa"/>
              <w:left w:w="80" w:type="dxa"/>
              <w:right w:w="80" w:type="dxa"/>
            </w:tcMar>
          </w:tcPr>
          <w:p>
            <w:pPr>
              <w:jc w:val="center"/>
            </w:pPr>
            <w:r>
              <w:rPr>
                <w:rFonts w:ascii="Arial" w:hAnsi="Arial"/>
                <w:b/>
                <w:color w:val="FFFFFF"/>
                <w:sz w:val="17"/>
              </w:rPr>
              <w:t>Min</w:t>
            </w:r>
          </w:p>
        </w:tc>
        <w:tc>
          <w:tcPr>
            <w:tcW w:type="dxa" w:w="1260"/>
            <w:shd w:fill="2B6CB0"/>
            <w:tcMar>
              <w:top w:w="80" w:type="dxa"/>
              <w:bottom w:w="80" w:type="dxa"/>
              <w:left w:w="80" w:type="dxa"/>
              <w:right w:w="80" w:type="dxa"/>
            </w:tcMar>
          </w:tcPr>
          <w:p>
            <w:pPr>
              <w:jc w:val="center"/>
            </w:pPr>
            <w:r>
              <w:rPr>
                <w:rFonts w:ascii="Arial" w:hAnsi="Arial"/>
                <w:b/>
                <w:color w:val="FFFFFF"/>
                <w:sz w:val="17"/>
              </w:rPr>
              <w:t>25%</w:t>
            </w:r>
          </w:p>
        </w:tc>
        <w:tc>
          <w:tcPr>
            <w:tcW w:type="dxa" w:w="1260"/>
            <w:shd w:fill="2B6CB0"/>
            <w:tcMar>
              <w:top w:w="80" w:type="dxa"/>
              <w:bottom w:w="80" w:type="dxa"/>
              <w:left w:w="80" w:type="dxa"/>
              <w:right w:w="80" w:type="dxa"/>
            </w:tcMar>
          </w:tcPr>
          <w:p>
            <w:pPr>
              <w:jc w:val="center"/>
            </w:pPr>
            <w:r>
              <w:rPr>
                <w:rFonts w:ascii="Arial" w:hAnsi="Arial"/>
                <w:b/>
                <w:color w:val="FFFFFF"/>
                <w:sz w:val="17"/>
              </w:rPr>
              <w:t>Median</w:t>
            </w:r>
          </w:p>
        </w:tc>
        <w:tc>
          <w:tcPr>
            <w:tcW w:type="dxa" w:w="1260"/>
            <w:shd w:fill="2B6CB0"/>
            <w:tcMar>
              <w:top w:w="80" w:type="dxa"/>
              <w:bottom w:w="80" w:type="dxa"/>
              <w:left w:w="80" w:type="dxa"/>
              <w:right w:w="80" w:type="dxa"/>
            </w:tcMar>
          </w:tcPr>
          <w:p>
            <w:pPr>
              <w:jc w:val="center"/>
            </w:pPr>
            <w:r>
              <w:rPr>
                <w:rFonts w:ascii="Arial" w:hAnsi="Arial"/>
                <w:b/>
                <w:color w:val="FFFFFF"/>
                <w:sz w:val="17"/>
              </w:rPr>
              <w:t>75%</w:t>
            </w:r>
          </w:p>
        </w:tc>
        <w:tc>
          <w:tcPr>
            <w:tcW w:type="dxa" w:w="1260"/>
            <w:shd w:fill="2B6CB0"/>
            <w:tcMar>
              <w:top w:w="80" w:type="dxa"/>
              <w:bottom w:w="80" w:type="dxa"/>
              <w:left w:w="80" w:type="dxa"/>
              <w:right w:w="80" w:type="dxa"/>
            </w:tcMar>
          </w:tcPr>
          <w:p>
            <w:pPr>
              <w:jc w:val="center"/>
            </w:pPr>
            <w:r>
              <w:rPr>
                <w:rFonts w:ascii="Arial" w:hAnsi="Arial"/>
                <w:b/>
                <w:color w:val="FFFFFF"/>
                <w:sz w:val="17"/>
              </w:rPr>
              <w:t>Max</w:t>
            </w:r>
          </w:p>
        </w:tc>
      </w:tr>
      <w:tr>
        <w:tc>
          <w:tcPr>
            <w:tcW w:type="dxa" w:w="1260"/>
            <w:shd w:fill="FFFFFF"/>
            <w:tcMar>
              <w:top w:w="60" w:type="dxa"/>
              <w:bottom w:w="60" w:type="dxa"/>
              <w:left w:w="70" w:type="dxa"/>
              <w:right w:w="70" w:type="dxa"/>
            </w:tcMar>
            <w:tcBorders>
              <w:bottom w:val="single" w:sz="4" w:color="E2E8F0"/>
            </w:tcBorders>
          </w:tcPr>
          <w:p>
            <w:pPr>
              <w:jc w:val="left"/>
            </w:pPr>
            <w:r>
              <w:rPr>
                <w:rFonts w:ascii="Arial" w:hAnsi="Arial"/>
                <w:b/>
                <w:color w:val="2D3748"/>
                <w:sz w:val="17"/>
              </w:rPr>
              <w:t>North Position (m)</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2387.108</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1646.678</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-336.365</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901.012</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2454.294</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4038.155</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4632.381</w:t>
            </w:r>
          </w:p>
        </w:tc>
      </w:tr>
      <w:tr>
        <w:tc>
          <w:tcPr>
            <w:tcW w:type="dxa" w:w="1260"/>
            <w:shd w:fill="F7FAFC"/>
            <w:tcMar>
              <w:top w:w="60" w:type="dxa"/>
              <w:bottom w:w="60" w:type="dxa"/>
              <w:left w:w="70" w:type="dxa"/>
              <w:right w:w="70" w:type="dxa"/>
            </w:tcMar>
            <w:tcBorders>
              <w:bottom w:val="single" w:sz="4" w:color="E2E8F0"/>
            </w:tcBorders>
          </w:tcPr>
          <w:p>
            <w:pPr>
              <w:jc w:val="left"/>
            </w:pPr>
            <w:r>
              <w:rPr>
                <w:rFonts w:ascii="Arial" w:hAnsi="Arial"/>
                <w:b/>
                <w:color w:val="2D3748"/>
                <w:sz w:val="17"/>
              </w:rPr>
              <w:t>East Position (m)</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595.953</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241.186</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-124.577</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354.630</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618.629</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851.005</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1034.713</w:t>
            </w:r>
          </w:p>
        </w:tc>
      </w:tr>
      <w:tr>
        <w:tc>
          <w:tcPr>
            <w:tcW w:type="dxa" w:w="1260"/>
            <w:shd w:fill="FFFFFF"/>
            <w:tcMar>
              <w:top w:w="60" w:type="dxa"/>
              <w:bottom w:w="60" w:type="dxa"/>
              <w:left w:w="70" w:type="dxa"/>
              <w:right w:w="70" w:type="dxa"/>
            </w:tcMar>
            <w:tcBorders>
              <w:bottom w:val="single" w:sz="4" w:color="E2E8F0"/>
            </w:tcBorders>
          </w:tcPr>
          <w:p>
            <w:pPr>
              <w:jc w:val="left"/>
            </w:pPr>
            <w:r>
              <w:rPr>
                <w:rFonts w:ascii="Arial" w:hAnsi="Arial"/>
                <w:b/>
                <w:color w:val="2D3748"/>
                <w:sz w:val="17"/>
              </w:rPr>
              <w:t>Depth (m)</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68.339</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34.497</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0.001</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56.991</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60.341</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93.921</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108.385</w:t>
            </w:r>
          </w:p>
        </w:tc>
      </w:tr>
      <w:tr>
        <w:tc>
          <w:tcPr>
            <w:tcW w:type="dxa" w:w="1260"/>
            <w:shd w:fill="F7FAFC"/>
            <w:tcMar>
              <w:top w:w="60" w:type="dxa"/>
              <w:bottom w:w="60" w:type="dxa"/>
              <w:left w:w="70" w:type="dxa"/>
              <w:right w:w="70" w:type="dxa"/>
            </w:tcMar>
            <w:tcBorders>
              <w:bottom w:val="single" w:sz="4" w:color="E2E8F0"/>
            </w:tcBorders>
          </w:tcPr>
          <w:p>
            <w:pPr>
              <w:jc w:val="left"/>
            </w:pPr>
            <w:r>
              <w:rPr>
                <w:rFonts w:ascii="Arial" w:hAnsi="Arial"/>
                <w:b/>
                <w:color w:val="2D3748"/>
                <w:sz w:val="17"/>
              </w:rPr>
              <w:t>Roll Angle (rad)</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0.229</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0.047</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-0.249</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0.220</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0.223</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0.227</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1.505</w:t>
            </w:r>
          </w:p>
        </w:tc>
      </w:tr>
      <w:tr>
        <w:tc>
          <w:tcPr>
            <w:tcW w:type="dxa" w:w="1260"/>
            <w:shd w:fill="FFFFFF"/>
            <w:tcMar>
              <w:top w:w="60" w:type="dxa"/>
              <w:bottom w:w="60" w:type="dxa"/>
              <w:left w:w="70" w:type="dxa"/>
              <w:right w:w="70" w:type="dxa"/>
            </w:tcMar>
            <w:tcBorders>
              <w:bottom w:val="single" w:sz="4" w:color="E2E8F0"/>
            </w:tcBorders>
          </w:tcPr>
          <w:p>
            <w:pPr>
              <w:jc w:val="left"/>
            </w:pPr>
            <w:r>
              <w:rPr>
                <w:rFonts w:ascii="Arial" w:hAnsi="Arial"/>
                <w:b/>
                <w:color w:val="2D3748"/>
                <w:sz w:val="17"/>
              </w:rPr>
              <w:t>Pitch Angle (rad)</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-0.012</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0.052</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-0.659</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-0.019</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-0.011</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-0.003</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0.705</w:t>
            </w:r>
          </w:p>
        </w:tc>
      </w:tr>
      <w:tr>
        <w:tc>
          <w:tcPr>
            <w:tcW w:type="dxa" w:w="1260"/>
            <w:shd w:fill="F7FAFC"/>
            <w:tcMar>
              <w:top w:w="60" w:type="dxa"/>
              <w:bottom w:w="60" w:type="dxa"/>
              <w:left w:w="70" w:type="dxa"/>
              <w:right w:w="70" w:type="dxa"/>
            </w:tcMar>
            <w:tcBorders>
              <w:bottom w:val="single" w:sz="4" w:color="E2E8F0"/>
            </w:tcBorders>
          </w:tcPr>
          <w:p>
            <w:pPr>
              <w:jc w:val="left"/>
            </w:pPr>
            <w:r>
              <w:rPr>
                <w:rFonts w:ascii="Arial" w:hAnsi="Arial"/>
                <w:b/>
                <w:color w:val="2D3748"/>
                <w:sz w:val="17"/>
              </w:rPr>
              <w:t>Heading Angle (rad)</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2.917</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2.069</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0.000</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0.728</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3.094</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4.077</w:t>
            </w:r>
          </w:p>
        </w:tc>
        <w:tc>
          <w:tcPr>
            <w:tcW w:type="dxa" w:w="1260"/>
            <w:shd w:fill="F7FAFC"/>
            <w:tcMar>
              <w:top w:w="60" w:type="dxa"/>
              <w:bottom w:w="60" w:type="dxa"/>
              <w:left w:w="70" w:type="dxa"/>
              <w:right w:w="70" w:type="dxa"/>
            </w:tcMar>
            <w:tcBorders>
              <w:bottom w:val="single" w:sz="4" w:color="E2E8F0"/>
            </w:tcBorders>
          </w:tcPr>
          <w:p>
            <w:pPr>
              <w:jc w:val="right"/>
            </w:pPr>
            <w:r>
              <w:rPr>
                <w:rFonts w:ascii="Arial" w:hAnsi="Arial"/>
                <w:color w:val="2D3748"/>
                <w:sz w:val="17"/>
              </w:rPr>
              <w:t>6.283</w:t>
            </w:r>
          </w:p>
        </w:tc>
      </w:tr>
      <w:tr>
        <w:tc>
          <w:tcPr>
            <w:tcW w:type="dxa" w:w="1260"/>
            <w:shd w:fill="FFFFFF"/>
            <w:tcMar>
              <w:top w:w="60" w:type="dxa"/>
              <w:bottom w:w="60" w:type="dxa"/>
              <w:left w:w="70" w:type="dxa"/>
              <w:right w:w="70" w:type="dxa"/>
            </w:tcMar>
            <w:tcBorders>
              <w:bottom w:val="single" w:sz="4" w:color="E2E8F0"/>
            </w:tcBorders>
          </w:tcPr>
          <w:p>
            <w:pPr>
              <w:jc w:val="left"/>
            </w:pPr>
            <w:r>
              <w:rPr>
                <w:rFonts w:ascii="Arial" w:hAnsi="Arial"/>
                <w:b/>
                <w:color w:val="2D3748"/>
                <w:sz w:val="17"/>
              </w:rPr>
              <w:t>Surge Speed (m/s)</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1.192</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0.253</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0.000</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1.112</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1.242</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1.360</w:t>
            </w:r>
          </w:p>
        </w:tc>
        <w:tc>
          <w:tcPr>
            <w:tcW w:type="dxa" w:w="1260"/>
            <w:shd w:fill="FFFFFF"/>
            <w:tcMar>
              <w:top w:w="60" w:type="dxa"/>
              <w:bottom w:w="60" w:type="dxa"/>
              <w:left w:w="70" w:type="dxa"/>
              <w:right w:w="70" w:type="dxa"/>
            </w:tcMar>
            <w:tcBorders>
              <w:bottom w:val="single" w:sz="4" w:color="E2E8F0"/>
            </w:tcBorders>
          </w:tcPr>
          <w:p>
            <w:pPr>
              <w:jc w:val="right"/>
            </w:pPr>
            <w:r>
              <w:rPr>
                <w:rFonts w:ascii="Arial" w:hAnsi="Arial"/>
                <w:color w:val="2D3748"/>
                <w:sz w:val="17"/>
              </w:rPr>
              <w:t>3.249</w:t>
            </w:r>
          </w:p>
        </w:tc>
      </w:tr>
    </w:tbl>
    <w:p>
      <w:pPr>
        <w:spacing w:after="160"/>
      </w:pPr>
    </w:p>
    <w:p>
      <w:pPr>
        <w:keepNext/>
        <w:spacing w:before="240" w:after="80"/>
      </w:pPr>
      <w:r>
        <w:rPr>
          <w:rFonts w:ascii="Arial" w:hAnsi="Arial"/>
          <w:b/>
          <w:color w:val="2B6CB0"/>
          <w:sz w:val="26"/>
        </w:rPr>
        <w:t>2.2 State Distributions &amp; Physical Operating Envelopes</w:t>
      </w:r>
    </w:p>
    <w:p>
      <w:pPr>
        <w:spacing w:before="0" w:after="80" w:line="276" w:lineRule="auto"/>
      </w:pPr>
      <w:r>
        <w:rPr>
          <w:rFonts w:ascii="Arial" w:hAnsi="Arial"/>
          <w:color w:val="2D3748"/>
          <w:sz w:val="21"/>
        </w:rPr>
        <w:t>Figure 1 displays the distributions of surge speed, depth, heading, pitch, and roll. Surge speed exhibits a sharp operating mode around 1.20 m/s (cruise propulsion setting), with an overall mean of 1.19 m/s. Pitch values stay centered near zero (-0.012 rad) with small excursions during depth changes. Roll exhibits a steady hydrodynamic heel trim angle (~0.23 rad) caused by the single-screw propeller counter-torque.</w:t>
      </w:r>
    </w:p>
    <w:p>
      <w:pPr>
        <w:keepNext/>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eda_distributions.png"/>
                    <pic:cNvPicPr/>
                  </pic:nvPicPr>
                  <pic:blipFill>
                    <a:blip r:embed="rId9"/>
                    <a:stretch>
                      <a:fillRect/>
                    </a:stretch>
                  </pic:blipFill>
                  <pic:spPr>
                    <a:xfrm>
                      <a:off x="0" y="0"/>
                      <a:ext cx="5669280" cy="3188970"/>
                    </a:xfrm>
                    <a:prstGeom prst="rect"/>
                  </pic:spPr>
                </pic:pic>
              </a:graphicData>
            </a:graphic>
          </wp:inline>
        </w:drawing>
      </w:r>
    </w:p>
    <w:p>
      <w:pPr>
        <w:spacing w:before="40" w:after="200"/>
        <w:jc w:val="center"/>
      </w:pPr>
      <w:r>
        <w:rPr>
          <w:rFonts w:ascii="Arial" w:hAnsi="Arial"/>
          <w:i/>
          <w:color w:val="718096"/>
          <w:sz w:val="19"/>
        </w:rPr>
        <w:t>Figure 1: Probability distributions and histograms of primary AUV telemetry states across Mission M86.</w:t>
      </w:r>
    </w:p>
    <w:p>
      <w:pPr>
        <w:keepNext/>
        <w:spacing w:before="240" w:after="80"/>
      </w:pPr>
      <w:r>
        <w:rPr>
          <w:rFonts w:ascii="Arial" w:hAnsi="Arial"/>
          <w:b/>
          <w:color w:val="2B6CB0"/>
          <w:sz w:val="26"/>
        </w:rPr>
        <w:t>2.3 Survey Path &amp; Mission Dive Profile</w:t>
      </w:r>
    </w:p>
    <w:p>
      <w:pPr>
        <w:spacing w:before="0" w:after="80" w:line="276" w:lineRule="auto"/>
      </w:pPr>
      <w:r>
        <w:rPr>
          <w:rFonts w:ascii="Arial" w:hAnsi="Arial"/>
          <w:color w:val="2D3748"/>
          <w:sz w:val="21"/>
        </w:rPr>
        <w:t>Figure 2 illustrates the horizontal 2D survey path in local Cartesian coordinates (North vs East) and the mission depth dive profile over 17.7 hours of continuous operation. The vehicle surveyed a track of 4.6 km North by 1.1 km East. The dive profile shows initial descent to ~60 m depth, followed by an operating deep lawnmower pattern extending down to 108 m.</w:t>
      </w:r>
    </w:p>
    <w:p>
      <w:pPr>
        <w:keepNext/>
        <w:spacing w:before="160" w:after="40"/>
        <w:jc w:val="center"/>
      </w:pPr>
      <w:r>
        <w:drawing>
          <wp:inline xmlns:a="http://schemas.openxmlformats.org/drawingml/2006/main" xmlns:pic="http://schemas.openxmlformats.org/drawingml/2006/picture">
            <wp:extent cx="5669280" cy="2480310"/>
            <wp:docPr id="2" name="Picture 2"/>
            <wp:cNvGraphicFramePr>
              <a:graphicFrameLocks noChangeAspect="1"/>
            </wp:cNvGraphicFramePr>
            <a:graphic>
              <a:graphicData uri="http://schemas.openxmlformats.org/drawingml/2006/picture">
                <pic:pic>
                  <pic:nvPicPr>
                    <pic:cNvPr id="0" name="eda_survey_path.png"/>
                    <pic:cNvPicPr/>
                  </pic:nvPicPr>
                  <pic:blipFill>
                    <a:blip r:embed="rId10"/>
                    <a:stretch>
                      <a:fillRect/>
                    </a:stretch>
                  </pic:blipFill>
                  <pic:spPr>
                    <a:xfrm>
                      <a:off x="0" y="0"/>
                      <a:ext cx="5669280" cy="2480310"/>
                    </a:xfrm>
                    <a:prstGeom prst="rect"/>
                  </pic:spPr>
                </pic:pic>
              </a:graphicData>
            </a:graphic>
          </wp:inline>
        </w:drawing>
      </w:r>
    </w:p>
    <w:p>
      <w:pPr>
        <w:spacing w:before="40" w:after="200"/>
        <w:jc w:val="center"/>
      </w:pPr>
      <w:r>
        <w:rPr>
          <w:rFonts w:ascii="Arial" w:hAnsi="Arial"/>
          <w:i/>
          <w:color w:val="718096"/>
          <w:sz w:val="19"/>
        </w:rPr>
        <w:t>Figure 2: (Left) Horizontal 2D trajectory color-coded by depth. (Right) Full mission dive depth profile across train, val, and test splits.</w:t>
      </w:r>
    </w:p>
    <w:p>
      <w:pPr>
        <w:keepNext/>
        <w:spacing w:before="240" w:after="80"/>
      </w:pPr>
      <w:r>
        <w:rPr>
          <w:rFonts w:ascii="Arial" w:hAnsi="Arial"/>
          <w:b/>
          <w:color w:val="2B6CB0"/>
          <w:sz w:val="26"/>
        </w:rPr>
        <w:t>2.4 Multi-Sensor Telemetry Correlation Analysis</w:t>
      </w:r>
    </w:p>
    <w:p>
      <w:pPr>
        <w:spacing w:before="0" w:after="80" w:line="276" w:lineRule="auto"/>
      </w:pPr>
      <w:r>
        <w:rPr>
          <w:rFonts w:ascii="Arial" w:hAnsi="Arial"/>
          <w:color w:val="2D3748"/>
          <w:sz w:val="21"/>
        </w:rPr>
        <w:t>The state correlation matrix (Figure 3) uncovers key hydrodynamic couplings. Strong kinematic correlation exists between North/East positions and Heading (0.61 and 0.47). Depth shows negative correlation with surge speed, indicating slight velocity drops during vertical diving operations due to increased plane drag.</w:t>
      </w:r>
    </w:p>
    <w:p>
      <w:pPr>
        <w:keepNext/>
        <w:spacing w:before="160" w:after="40"/>
        <w:jc w:val="center"/>
      </w:pPr>
      <w:r>
        <w:drawing>
          <wp:inline xmlns:a="http://schemas.openxmlformats.org/drawingml/2006/main" xmlns:pic="http://schemas.openxmlformats.org/drawingml/2006/picture">
            <wp:extent cx="5669280" cy="5039360"/>
            <wp:docPr id="3" name="Picture 3"/>
            <wp:cNvGraphicFramePr>
              <a:graphicFrameLocks noChangeAspect="1"/>
            </wp:cNvGraphicFramePr>
            <a:graphic>
              <a:graphicData uri="http://schemas.openxmlformats.org/drawingml/2006/picture">
                <pic:pic>
                  <pic:nvPicPr>
                    <pic:cNvPr id="0" name="eda_correlation_matrix.png"/>
                    <pic:cNvPicPr/>
                  </pic:nvPicPr>
                  <pic:blipFill>
                    <a:blip r:embed="rId11"/>
                    <a:stretch>
                      <a:fillRect/>
                    </a:stretch>
                  </pic:blipFill>
                  <pic:spPr>
                    <a:xfrm>
                      <a:off x="0" y="0"/>
                      <a:ext cx="5669280" cy="5039360"/>
                    </a:xfrm>
                    <a:prstGeom prst="rect"/>
                  </pic:spPr>
                </pic:pic>
              </a:graphicData>
            </a:graphic>
          </wp:inline>
        </w:drawing>
      </w:r>
    </w:p>
    <w:p>
      <w:pPr>
        <w:spacing w:before="40" w:after="200"/>
        <w:jc w:val="center"/>
      </w:pPr>
      <w:r>
        <w:rPr>
          <w:rFonts w:ascii="Arial" w:hAnsi="Arial"/>
          <w:i/>
          <w:color w:val="718096"/>
          <w:sz w:val="19"/>
        </w:rPr>
        <w:t>Figure 3: Pearson correlation matrix between 7 state telemetry variables.</w:t>
      </w:r>
    </w:p>
    <w:p>
      <w:pPr>
        <w:keepNext/>
        <w:spacing w:before="240" w:after="80"/>
      </w:pPr>
      <w:r>
        <w:rPr>
          <w:rFonts w:ascii="Arial" w:hAnsi="Arial"/>
          <w:b/>
          <w:color w:val="2B6CB0"/>
          <w:sz w:val="26"/>
        </w:rPr>
        <w:t>2.5 Sampling Regularity &amp; USBL Acoustic Sensor Noise</w:t>
      </w:r>
    </w:p>
    <w:p>
      <w:pPr>
        <w:spacing w:before="0" w:after="80" w:line="276" w:lineRule="auto"/>
      </w:pPr>
      <w:r>
        <w:rPr>
          <w:rFonts w:ascii="Arial" w:hAnsi="Arial"/>
          <w:color w:val="2D3748"/>
          <w:sz w:val="21"/>
        </w:rPr>
        <w:t>The sampling interval distribution confirms highly consistent 0.50 Hz telemetry (dt = 2.0 s). However, time-series inspection reveals high-frequency position jumps in the raw North and East coordinates (Figure 4). These jumps stem from acoustic Ultra-Short Baseline (USBL) underwater transceiver noise, which causes instantaneous step velocities inconsistent with vehicle momentum.</w:t>
      </w:r>
    </w:p>
    <w:p>
      <w:pPr>
        <w:keepNext/>
        <w:spacing w:before="160" w:after="40"/>
        <w:jc w:val="center"/>
      </w:pPr>
      <w:r>
        <w:drawing>
          <wp:inline xmlns:a="http://schemas.openxmlformats.org/drawingml/2006/main" xmlns:pic="http://schemas.openxmlformats.org/drawingml/2006/picture">
            <wp:extent cx="5669280" cy="2125980"/>
            <wp:docPr id="4" name="Picture 4"/>
            <wp:cNvGraphicFramePr>
              <a:graphicFrameLocks noChangeAspect="1"/>
            </wp:cNvGraphicFramePr>
            <a:graphic>
              <a:graphicData uri="http://schemas.openxmlformats.org/drawingml/2006/picture">
                <pic:pic>
                  <pic:nvPicPr>
                    <pic:cNvPr id="0" name="eda_noise_and_sampling.png"/>
                    <pic:cNvPicPr/>
                  </pic:nvPicPr>
                  <pic:blipFill>
                    <a:blip r:embed="rId12"/>
                    <a:stretch>
                      <a:fillRect/>
                    </a:stretch>
                  </pic:blipFill>
                  <pic:spPr>
                    <a:xfrm>
                      <a:off x="0" y="0"/>
                      <a:ext cx="5669280" cy="2125980"/>
                    </a:xfrm>
                    <a:prstGeom prst="rect"/>
                  </pic:spPr>
                </pic:pic>
              </a:graphicData>
            </a:graphic>
          </wp:inline>
        </w:drawing>
      </w:r>
    </w:p>
    <w:p>
      <w:pPr>
        <w:spacing w:before="40" w:after="200"/>
        <w:jc w:val="center"/>
      </w:pPr>
      <w:r>
        <w:rPr>
          <w:rFonts w:ascii="Arial" w:hAnsi="Arial"/>
          <w:i/>
          <w:color w:val="718096"/>
          <w:sz w:val="19"/>
        </w:rPr>
        <w:t>Figure 4: (Left) Sampling interval frequency distribution. (Right) High-frequency USBL acoustic transceiver jumps vs continuous kinematic projection.</w:t>
      </w:r>
    </w:p>
    <w:p>
      <w:pPr>
        <w:keepNext/>
        <w:spacing w:before="320" w:after="120"/>
      </w:pPr>
      <w:r>
        <w:rPr>
          <w:rFonts w:ascii="Arial" w:hAnsi="Arial"/>
          <w:b/>
          <w:color w:val="1A365D"/>
          <w:sz w:val="32"/>
        </w:rPr>
        <w:t>3. Reduced-Order Hydrodynamic Physics Model</w:t>
      </w:r>
    </w:p>
    <w:p>
      <w:pPr>
        <w:spacing w:before="0" w:after="80" w:line="276" w:lineRule="auto"/>
      </w:pPr>
      <w:r>
        <w:rPr>
          <w:rFonts w:ascii="Arial" w:hAnsi="Arial"/>
          <w:color w:val="2D3748"/>
          <w:sz w:val="21"/>
        </w:rPr>
        <w:t>We formulated a 3D kinematics baseline combined with quadratic surge damping to represent nominal AUV motion over a 2.0-second window:</w:t>
      </w:r>
    </w:p>
    <w:p>
      <w:pPr>
        <w:pStyle w:val="ListBullet"/>
        <w:spacing w:before="0" w:after="60" w:line="276" w:lineRule="auto"/>
      </w:pPr>
      <w:r>
        <w:rPr>
          <w:rFonts w:ascii="Arial" w:hAnsi="Arial"/>
          <w:b/>
          <w:color w:val="1A202C"/>
          <w:sz w:val="21"/>
        </w:rPr>
        <w:t xml:space="preserve">Kinematic Integration: </w:t>
      </w:r>
      <w:r>
        <w:rPr>
          <w:rFonts w:ascii="Arial" w:hAnsi="Arial"/>
          <w:color w:val="2D3748"/>
          <w:sz w:val="21"/>
        </w:rPr>
        <w:t>North Position: x_{t+1} = x_t + U_t * cos(theta_t) * cos(psi_t) * dt</w:t>
      </w:r>
    </w:p>
    <w:p>
      <w:pPr>
        <w:pStyle w:val="ListBullet"/>
        <w:spacing w:before="0" w:after="60" w:line="276" w:lineRule="auto"/>
      </w:pPr>
      <w:r>
        <w:rPr>
          <w:rFonts w:ascii="Arial" w:hAnsi="Arial"/>
          <w:b/>
          <w:color w:val="1A202C"/>
          <w:sz w:val="21"/>
        </w:rPr>
        <w:t xml:space="preserve">Kinematic Integration: </w:t>
      </w:r>
      <w:r>
        <w:rPr>
          <w:rFonts w:ascii="Arial" w:hAnsi="Arial"/>
          <w:color w:val="2D3748"/>
          <w:sz w:val="21"/>
        </w:rPr>
        <w:t>East Position:  y_{t+1} = y_t + U_t * cos(theta_t) * sin(psi_t) * dt</w:t>
      </w:r>
    </w:p>
    <w:p>
      <w:pPr>
        <w:pStyle w:val="ListBullet"/>
        <w:spacing w:before="0" w:after="60" w:line="276" w:lineRule="auto"/>
      </w:pPr>
      <w:r>
        <w:rPr>
          <w:rFonts w:ascii="Arial" w:hAnsi="Arial"/>
          <w:b/>
          <w:color w:val="1A202C"/>
          <w:sz w:val="21"/>
        </w:rPr>
        <w:t xml:space="preserve">Vertical Integration: </w:t>
      </w:r>
      <w:r>
        <w:rPr>
          <w:rFonts w:ascii="Arial" w:hAnsi="Arial"/>
          <w:color w:val="2D3748"/>
          <w:sz w:val="21"/>
        </w:rPr>
        <w:t>Vertical Depth: z_{t+1} = z_t - U_t * sin(theta_t) * dt</w:t>
      </w:r>
    </w:p>
    <w:p>
      <w:pPr>
        <w:pStyle w:val="ListBullet"/>
        <w:spacing w:before="0" w:after="60" w:line="276" w:lineRule="auto"/>
      </w:pPr>
      <w:r>
        <w:rPr>
          <w:rFonts w:ascii="Arial" w:hAnsi="Arial"/>
          <w:b/>
          <w:color w:val="1A202C"/>
          <w:sz w:val="21"/>
        </w:rPr>
        <w:t xml:space="preserve">Quadratic Damping: </w:t>
      </w:r>
      <w:r>
        <w:rPr>
          <w:rFonts w:ascii="Arial" w:hAnsi="Arial"/>
          <w:color w:val="2D3748"/>
          <w:sz w:val="21"/>
        </w:rPr>
        <w:t>Surge Drag Model: U_{t+1} = max(U_t + K_d * (U_cruise^2 - U_t^2) * dt, 0.0)</w:t>
      </w:r>
    </w:p>
    <w:p>
      <w:pPr>
        <w:spacing w:before="0" w:after="80" w:line="276" w:lineRule="auto"/>
      </w:pPr>
      <w:r>
        <w:rPr>
          <w:rFonts w:ascii="Arial" w:hAnsi="Arial"/>
          <w:color w:val="2D3748"/>
          <w:sz w:val="21"/>
        </w:rPr>
        <w:t>System Identification: Using linear least-squares regression on the training split with nominal cruise speed U_cruise = 1.20 m/s, the hydrodynamic surge damping coefficient was estimated as Kd = 0.022498. While this baseline projects motion accurately in calm straight-line segments, it completely omits thruster dynamics, cross-flow ocean currents, and pitch-depth buoyancy coupling.</w:t>
      </w:r>
    </w:p>
    <w:p>
      <w:pPr>
        <w:keepNext/>
        <w:spacing w:before="320" w:after="120"/>
      </w:pPr>
      <w:r>
        <w:rPr>
          <w:rFonts w:ascii="Arial" w:hAnsi="Arial"/>
          <w:b/>
          <w:color w:val="1A365D"/>
          <w:sz w:val="32"/>
        </w:rPr>
        <w:t>4. Deep Recurrent Residual Architecture (GRU)</w:t>
      </w:r>
    </w:p>
    <w:p>
      <w:pPr>
        <w:spacing w:before="0" w:after="80" w:line="276" w:lineRule="auto"/>
      </w:pPr>
      <w:r>
        <w:rPr>
          <w:rFonts w:ascii="Arial" w:hAnsi="Arial"/>
          <w:color w:val="2D3748"/>
          <w:sz w:val="21"/>
        </w:rPr>
        <w:t>To compensate for physics baseline deficiencies, we engineered a deep recurrent neural network. Instead of learning full dynamics from scratch, the network learns the residual error vector: R(t) = X_actual(t+1) - X_physics(t+1).</w:t>
      </w:r>
    </w:p>
    <w:p>
      <w:pPr>
        <w:keepNext/>
        <w:spacing w:before="240" w:after="80"/>
      </w:pPr>
      <w:r>
        <w:rPr>
          <w:rFonts w:ascii="Arial" w:hAnsi="Arial"/>
          <w:b/>
          <w:color w:val="2B6CB0"/>
          <w:sz w:val="26"/>
        </w:rPr>
        <w:t>4.1 State &amp; Feature Representations</w:t>
      </w:r>
    </w:p>
    <w:p>
      <w:pPr>
        <w:pStyle w:val="ListBullet"/>
        <w:spacing w:before="0" w:after="60" w:line="276" w:lineRule="auto"/>
      </w:pPr>
      <w:r>
        <w:rPr>
          <w:rFonts w:ascii="Arial" w:hAnsi="Arial"/>
          <w:b/>
          <w:color w:val="1A202C"/>
          <w:sz w:val="21"/>
        </w:rPr>
        <w:t xml:space="preserve">Continuous 6D Input Features: </w:t>
      </w:r>
      <w:r>
        <w:rPr>
          <w:rFonts w:ascii="Arial" w:hAnsi="Arial"/>
          <w:color w:val="2D3748"/>
          <w:sz w:val="21"/>
        </w:rPr>
        <w:t>s_t = [U_t, phi_t, theta_t, cos(psi_t), sin(psi_t), z_t]^T in R^6. Heading is represented via trigonometric projection to eliminate 0-to-2pi wrap discontinuities.</w:t>
      </w:r>
    </w:p>
    <w:p>
      <w:pPr>
        <w:pStyle w:val="ListBullet"/>
        <w:spacing w:before="0" w:after="60" w:line="276" w:lineRule="auto"/>
      </w:pPr>
      <w:r>
        <w:rPr>
          <w:rFonts w:ascii="Arial" w:hAnsi="Arial"/>
          <w:b/>
          <w:color w:val="1A202C"/>
          <w:sz w:val="21"/>
        </w:rPr>
        <w:t xml:space="preserve">Residual Target Outputs: </w:t>
      </w:r>
      <w:r>
        <w:rPr>
          <w:rFonts w:ascii="Arial" w:hAnsi="Arial"/>
          <w:color w:val="2D3748"/>
          <w:sz w:val="21"/>
        </w:rPr>
        <w:t>r_t = [Delta North, Delta East, Delta Depth, Delta Roll, Delta Pitch, Delta Heading, Delta Speed]^T in R^7.</w:t>
      </w:r>
    </w:p>
    <w:p>
      <w:pPr>
        <w:pStyle w:val="ListBullet"/>
        <w:spacing w:before="0" w:after="60" w:line="276" w:lineRule="auto"/>
      </w:pPr>
      <w:r>
        <w:rPr>
          <w:rFonts w:ascii="Arial" w:hAnsi="Arial"/>
          <w:b/>
          <w:color w:val="1A202C"/>
          <w:sz w:val="21"/>
        </w:rPr>
        <w:t xml:space="preserve">Temporal Sequence Window: </w:t>
      </w:r>
      <w:r>
        <w:rPr>
          <w:rFonts w:ascii="Arial" w:hAnsi="Arial"/>
          <w:color w:val="2D3748"/>
          <w:sz w:val="21"/>
        </w:rPr>
        <w:t>Rolling history of 10 timesteps (T = 10 steps = 20.0 seconds of historical dynamics).</w:t>
      </w:r>
    </w:p>
    <w:p>
      <w:pPr>
        <w:keepNext/>
        <w:spacing w:before="240" w:after="80"/>
      </w:pPr>
      <w:r>
        <w:rPr>
          <w:rFonts w:ascii="Arial" w:hAnsi="Arial"/>
          <w:b/>
          <w:color w:val="2B6CB0"/>
          <w:sz w:val="26"/>
        </w:rPr>
        <w:t>4.2 Network Specifications &amp; Hyperparameters</w:t>
      </w:r>
    </w:p>
    <w:tbl>
      <w:tblPr>
        <w:tblW w:type="auto" w:w="0"/>
        <w:jc w:val="center"/>
        <w:tblLook w:firstColumn="1" w:firstRow="1" w:lastColumn="0" w:lastRow="0" w:noHBand="0" w:noVBand="1" w:val="04A0"/>
      </w:tblPr>
      <w:tblGrid>
        <w:gridCol w:w="5040"/>
        <w:gridCol w:w="5040"/>
      </w:tblGrid>
      <w:tr>
        <w:tc>
          <w:tcPr>
            <w:tcW w:type="dxa" w:w="3168"/>
            <w:shd w:fill="FFFFFF"/>
            <w:tcMar>
              <w:top w:w="60" w:type="dxa"/>
              <w:bottom w:w="60" w:type="dxa"/>
              <w:left w:w="80" w:type="dxa"/>
              <w:right w:w="80" w:type="dxa"/>
            </w:tcMar>
            <w:tcBorders>
              <w:bottom w:val="single" w:sz="4" w:color="E2E8F0"/>
            </w:tcBorders>
          </w:tcPr>
          <w:p>
            <w:r>
              <w:rPr>
                <w:rFonts w:ascii="Arial" w:hAnsi="Arial"/>
                <w:b/>
                <w:color w:val="1A365D"/>
                <w:sz w:val="18"/>
              </w:rPr>
              <w:t>Model Architecture</w:t>
            </w:r>
          </w:p>
        </w:tc>
        <w:tc>
          <w:tcPr>
            <w:tcW w:type="dxa" w:w="6192"/>
            <w:shd w:fill="FFFFFF"/>
            <w:tcMar>
              <w:top w:w="60" w:type="dxa"/>
              <w:bottom w:w="60" w:type="dxa"/>
              <w:left w:w="80" w:type="dxa"/>
              <w:right w:w="80" w:type="dxa"/>
            </w:tcMar>
            <w:tcBorders>
              <w:bottom w:val="single" w:sz="4" w:color="E2E8F0"/>
            </w:tcBorders>
          </w:tcPr>
          <w:p>
            <w:r>
              <w:rPr>
                <w:rFonts w:ascii="Arial" w:hAnsi="Arial"/>
                <w:color w:val="2D3748"/>
                <w:sz w:val="18"/>
              </w:rPr>
              <w:t>2-Layer Recurrent Gated Recurrent Unit (GRU) with MLP Decoder</w:t>
            </w:r>
          </w:p>
        </w:tc>
      </w:tr>
      <w:tr>
        <w:tc>
          <w:tcPr>
            <w:tcW w:type="dxa" w:w="3168"/>
            <w:shd w:fill="F7FAFC"/>
            <w:tcMar>
              <w:top w:w="60" w:type="dxa"/>
              <w:bottom w:w="60" w:type="dxa"/>
              <w:left w:w="80" w:type="dxa"/>
              <w:right w:w="80" w:type="dxa"/>
            </w:tcMar>
            <w:tcBorders>
              <w:bottom w:val="single" w:sz="4" w:color="E2E8F0"/>
            </w:tcBorders>
          </w:tcPr>
          <w:p>
            <w:r>
              <w:rPr>
                <w:rFonts w:ascii="Arial" w:hAnsi="Arial"/>
                <w:b/>
                <w:color w:val="1A365D"/>
                <w:sz w:val="18"/>
              </w:rPr>
              <w:t>Hidden Units</w:t>
            </w:r>
          </w:p>
        </w:tc>
        <w:tc>
          <w:tcPr>
            <w:tcW w:type="dxa" w:w="6192"/>
            <w:shd w:fill="F7FAFC"/>
            <w:tcMar>
              <w:top w:w="60" w:type="dxa"/>
              <w:bottom w:w="60" w:type="dxa"/>
              <w:left w:w="80" w:type="dxa"/>
              <w:right w:w="80" w:type="dxa"/>
            </w:tcMar>
            <w:tcBorders>
              <w:bottom w:val="single" w:sz="4" w:color="E2E8F0"/>
            </w:tcBorders>
          </w:tcPr>
          <w:p>
            <w:r>
              <w:rPr>
                <w:rFonts w:ascii="Arial" w:hAnsi="Arial"/>
                <w:color w:val="2D3748"/>
                <w:sz w:val="18"/>
              </w:rPr>
              <w:t>64 units per recurrent layer (2 layers deep)</w:t>
            </w:r>
          </w:p>
        </w:tc>
      </w:tr>
      <w:tr>
        <w:tc>
          <w:tcPr>
            <w:tcW w:type="dxa" w:w="3168"/>
            <w:shd w:fill="FFFFFF"/>
            <w:tcMar>
              <w:top w:w="60" w:type="dxa"/>
              <w:bottom w:w="60" w:type="dxa"/>
              <w:left w:w="80" w:type="dxa"/>
              <w:right w:w="80" w:type="dxa"/>
            </w:tcMar>
            <w:tcBorders>
              <w:bottom w:val="single" w:sz="4" w:color="E2E8F0"/>
            </w:tcBorders>
          </w:tcPr>
          <w:p>
            <w:r>
              <w:rPr>
                <w:rFonts w:ascii="Arial" w:hAnsi="Arial"/>
                <w:b/>
                <w:color w:val="1A365D"/>
                <w:sz w:val="18"/>
              </w:rPr>
              <w:t>Decoder Subnetwork</w:t>
            </w:r>
          </w:p>
        </w:tc>
        <w:tc>
          <w:tcPr>
            <w:tcW w:type="dxa" w:w="6192"/>
            <w:shd w:fill="FFFFFF"/>
            <w:tcMar>
              <w:top w:w="60" w:type="dxa"/>
              <w:bottom w:w="60" w:type="dxa"/>
              <w:left w:w="80" w:type="dxa"/>
              <w:right w:w="80" w:type="dxa"/>
            </w:tcMar>
            <w:tcBorders>
              <w:bottom w:val="single" w:sz="4" w:color="E2E8F0"/>
            </w:tcBorders>
          </w:tcPr>
          <w:p>
            <w:r>
              <w:rPr>
                <w:rFonts w:ascii="Arial" w:hAnsi="Arial"/>
                <w:color w:val="2D3748"/>
                <w:sz w:val="18"/>
              </w:rPr>
              <w:t>Linear(64 -&gt; 32) -&gt; ReLU -&gt; Dropout(0.1) -&gt; Linear(32 -&gt; 7)</w:t>
            </w:r>
          </w:p>
        </w:tc>
      </w:tr>
      <w:tr>
        <w:tc>
          <w:tcPr>
            <w:tcW w:type="dxa" w:w="3168"/>
            <w:shd w:fill="F7FAFC"/>
            <w:tcMar>
              <w:top w:w="60" w:type="dxa"/>
              <w:bottom w:w="60" w:type="dxa"/>
              <w:left w:w="80" w:type="dxa"/>
              <w:right w:w="80" w:type="dxa"/>
            </w:tcMar>
            <w:tcBorders>
              <w:bottom w:val="single" w:sz="4" w:color="E2E8F0"/>
            </w:tcBorders>
          </w:tcPr>
          <w:p>
            <w:r>
              <w:rPr>
                <w:rFonts w:ascii="Arial" w:hAnsi="Arial"/>
                <w:b/>
                <w:color w:val="1A365D"/>
                <w:sz w:val="18"/>
              </w:rPr>
              <w:t>Total Trainable Parameters</w:t>
            </w:r>
          </w:p>
        </w:tc>
        <w:tc>
          <w:tcPr>
            <w:tcW w:type="dxa" w:w="6192"/>
            <w:shd w:fill="F7FAFC"/>
            <w:tcMar>
              <w:top w:w="60" w:type="dxa"/>
              <w:bottom w:w="60" w:type="dxa"/>
              <w:left w:w="80" w:type="dxa"/>
              <w:right w:w="80" w:type="dxa"/>
            </w:tcMar>
            <w:tcBorders>
              <w:bottom w:val="single" w:sz="4" w:color="E2E8F0"/>
            </w:tcBorders>
          </w:tcPr>
          <w:p>
            <w:r>
              <w:rPr>
                <w:rFonts w:ascii="Arial" w:hAnsi="Arial"/>
                <w:color w:val="2D3748"/>
                <w:sz w:val="18"/>
              </w:rPr>
              <w:t>53,703 parameters</w:t>
            </w:r>
          </w:p>
        </w:tc>
      </w:tr>
      <w:tr>
        <w:tc>
          <w:tcPr>
            <w:tcW w:type="dxa" w:w="3168"/>
            <w:shd w:fill="FFFFFF"/>
            <w:tcMar>
              <w:top w:w="60" w:type="dxa"/>
              <w:bottom w:w="60" w:type="dxa"/>
              <w:left w:w="80" w:type="dxa"/>
              <w:right w:w="80" w:type="dxa"/>
            </w:tcMar>
            <w:tcBorders>
              <w:bottom w:val="single" w:sz="4" w:color="E2E8F0"/>
            </w:tcBorders>
          </w:tcPr>
          <w:p>
            <w:r>
              <w:rPr>
                <w:rFonts w:ascii="Arial" w:hAnsi="Arial"/>
                <w:b/>
                <w:color w:val="1A365D"/>
                <w:sz w:val="18"/>
              </w:rPr>
              <w:t>Loss Function</w:t>
            </w:r>
          </w:p>
        </w:tc>
        <w:tc>
          <w:tcPr>
            <w:tcW w:type="dxa" w:w="6192"/>
            <w:shd w:fill="FFFFFF"/>
            <w:tcMar>
              <w:top w:w="60" w:type="dxa"/>
              <w:bottom w:w="60" w:type="dxa"/>
              <w:left w:w="80" w:type="dxa"/>
              <w:right w:w="80" w:type="dxa"/>
            </w:tcMar>
            <w:tcBorders>
              <w:bottom w:val="single" w:sz="4" w:color="E2E8F0"/>
            </w:tcBorders>
          </w:tcPr>
          <w:p>
            <w:r>
              <w:rPr>
                <w:rFonts w:ascii="Arial" w:hAnsi="Arial"/>
                <w:color w:val="2D3748"/>
                <w:sz w:val="18"/>
              </w:rPr>
              <w:t>Normalized Mean Squared Error (MSELoss)</w:t>
            </w:r>
          </w:p>
        </w:tc>
      </w:tr>
      <w:tr>
        <w:tc>
          <w:tcPr>
            <w:tcW w:type="dxa" w:w="3168"/>
            <w:shd w:fill="F7FAFC"/>
            <w:tcMar>
              <w:top w:w="60" w:type="dxa"/>
              <w:bottom w:w="60" w:type="dxa"/>
              <w:left w:w="80" w:type="dxa"/>
              <w:right w:w="80" w:type="dxa"/>
            </w:tcMar>
            <w:tcBorders>
              <w:bottom w:val="single" w:sz="4" w:color="E2E8F0"/>
            </w:tcBorders>
          </w:tcPr>
          <w:p>
            <w:r>
              <w:rPr>
                <w:rFonts w:ascii="Arial" w:hAnsi="Arial"/>
                <w:b/>
                <w:color w:val="1A365D"/>
                <w:sz w:val="18"/>
              </w:rPr>
              <w:t>Optimization</w:t>
            </w:r>
          </w:p>
        </w:tc>
        <w:tc>
          <w:tcPr>
            <w:tcW w:type="dxa" w:w="6192"/>
            <w:shd w:fill="F7FAFC"/>
            <w:tcMar>
              <w:top w:w="60" w:type="dxa"/>
              <w:bottom w:w="60" w:type="dxa"/>
              <w:left w:w="80" w:type="dxa"/>
              <w:right w:w="80" w:type="dxa"/>
            </w:tcMar>
            <w:tcBorders>
              <w:bottom w:val="single" w:sz="4" w:color="E2E8F0"/>
            </w:tcBorders>
          </w:tcPr>
          <w:p>
            <w:r>
              <w:rPr>
                <w:rFonts w:ascii="Arial" w:hAnsi="Arial"/>
                <w:color w:val="2D3748"/>
                <w:sz w:val="18"/>
              </w:rPr>
              <w:t>Adam (learning rate = 0.001, weight decay = 1e-5), ReduceLROnPlateau</w:t>
            </w:r>
          </w:p>
        </w:tc>
      </w:tr>
      <w:tr>
        <w:tc>
          <w:tcPr>
            <w:tcW w:type="dxa" w:w="5040"/>
          </w:tcPr>
          <w:p/>
        </w:tc>
        <w:tc>
          <w:tcPr>
            <w:tcW w:type="dxa" w:w="5040"/>
          </w:tcPr>
          <w:p/>
        </w:tc>
      </w:tr>
    </w:tbl>
    <w:p>
      <w:pPr>
        <w:spacing w:after="120"/>
      </w:pPr>
    </w:p>
    <w:p>
      <w:pPr>
        <w:keepNext/>
        <w:spacing w:before="240" w:after="80"/>
      </w:pPr>
      <w:r>
        <w:rPr>
          <w:rFonts w:ascii="Arial" w:hAnsi="Arial"/>
          <w:b/>
          <w:color w:val="2B6CB0"/>
          <w:sz w:val="26"/>
        </w:rPr>
        <w:t>4.3 Training Convergence</w:t>
      </w:r>
    </w:p>
    <w:p>
      <w:pPr>
        <w:spacing w:before="0" w:after="80" w:line="276" w:lineRule="auto"/>
      </w:pPr>
      <w:r>
        <w:rPr>
          <w:rFonts w:ascii="Arial" w:hAnsi="Arial"/>
          <w:color w:val="2D3748"/>
          <w:sz w:val="21"/>
        </w:rPr>
        <w:t>The model converged smoothly within 30 epochs (Figure 5). Early stopping prevented overfitting, achieving a best validation loss of 0.4489 MSE. The training and validation loss curves tracked closely without divergent gap, proving excellent generalization.</w:t>
      </w:r>
    </w:p>
    <w:p>
      <w:pPr>
        <w:keepNext/>
        <w:spacing w:before="160" w:after="40"/>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training_loss.png"/>
                    <pic:cNvPicPr/>
                  </pic:nvPicPr>
                  <pic:blipFill>
                    <a:blip r:embed="rId13"/>
                    <a:stretch>
                      <a:fillRect/>
                    </a:stretch>
                  </pic:blipFill>
                  <pic:spPr>
                    <a:xfrm>
                      <a:off x="0" y="0"/>
                      <a:ext cx="5669280" cy="3149600"/>
                    </a:xfrm>
                    <a:prstGeom prst="rect"/>
                  </pic:spPr>
                </pic:pic>
              </a:graphicData>
            </a:graphic>
          </wp:inline>
        </w:drawing>
      </w:r>
    </w:p>
    <w:p>
      <w:pPr>
        <w:spacing w:before="40" w:after="200"/>
        <w:jc w:val="center"/>
      </w:pPr>
      <w:r>
        <w:rPr>
          <w:rFonts w:ascii="Arial" w:hAnsi="Arial"/>
          <w:i/>
          <w:color w:val="718096"/>
          <w:sz w:val="19"/>
        </w:rPr>
        <w:t>Figure 5: Training and validation loss convergence curves for the 2-Layer Hybrid Residual GRU.</w:t>
      </w:r>
    </w:p>
    <w:p>
      <w:pPr>
        <w:keepNext/>
        <w:spacing w:before="320" w:after="120"/>
      </w:pPr>
      <w:r>
        <w:rPr>
          <w:rFonts w:ascii="Arial" w:hAnsi="Arial"/>
          <w:b/>
          <w:color w:val="1A365D"/>
          <w:sz w:val="32"/>
        </w:rPr>
        <w:t>5. Empirical Test Benchmarks &amp; Results</w:t>
      </w:r>
    </w:p>
    <w:p>
      <w:pPr>
        <w:spacing w:before="0" w:after="80" w:line="276" w:lineRule="auto"/>
      </w:pPr>
      <w:r>
        <w:rPr>
          <w:rFonts w:ascii="Arial" w:hAnsi="Arial"/>
          <w:color w:val="2D3748"/>
          <w:sz w:val="21"/>
        </w:rPr>
        <w:t>Models were evaluated strictly on 4,792 unseen future test telemetry samples. Table 2 provides a complete three-way benchmark comparing the nominal Physics Baseline, an ML-Only GRU (predicting state deltas directly), and our Hybrid Physics+GRU model.</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2B6CB0"/>
            <w:tcMar>
              <w:top w:w="80" w:type="dxa"/>
              <w:bottom w:w="80" w:type="dxa"/>
              <w:left w:w="80" w:type="dxa"/>
              <w:right w:w="80" w:type="dxa"/>
            </w:tcMar>
          </w:tcPr>
          <w:p>
            <w:pPr>
              <w:jc w:val="center"/>
            </w:pPr>
            <w:r>
              <w:rPr>
                <w:rFonts w:ascii="Arial" w:hAnsi="Arial"/>
                <w:b/>
                <w:color w:val="FFFFFF"/>
                <w:sz w:val="18"/>
              </w:rPr>
              <w:t>State Variable</w:t>
            </w:r>
          </w:p>
        </w:tc>
        <w:tc>
          <w:tcPr>
            <w:tcW w:type="dxa" w:w="1680"/>
            <w:shd w:fill="2B6CB0"/>
            <w:tcMar>
              <w:top w:w="80" w:type="dxa"/>
              <w:bottom w:w="80" w:type="dxa"/>
              <w:left w:w="80" w:type="dxa"/>
              <w:right w:w="80" w:type="dxa"/>
            </w:tcMar>
          </w:tcPr>
          <w:p>
            <w:pPr>
              <w:jc w:val="center"/>
            </w:pPr>
            <w:r>
              <w:rPr>
                <w:rFonts w:ascii="Arial" w:hAnsi="Arial"/>
                <w:b/>
                <w:color w:val="FFFFFF"/>
                <w:sz w:val="18"/>
              </w:rPr>
              <w:t>Physics RMSE</w:t>
            </w:r>
          </w:p>
        </w:tc>
        <w:tc>
          <w:tcPr>
            <w:tcW w:type="dxa" w:w="1680"/>
            <w:shd w:fill="2B6CB0"/>
            <w:tcMar>
              <w:top w:w="80" w:type="dxa"/>
              <w:bottom w:w="80" w:type="dxa"/>
              <w:left w:w="80" w:type="dxa"/>
              <w:right w:w="80" w:type="dxa"/>
            </w:tcMar>
          </w:tcPr>
          <w:p>
            <w:pPr>
              <w:jc w:val="center"/>
            </w:pPr>
            <w:r>
              <w:rPr>
                <w:rFonts w:ascii="Arial" w:hAnsi="Arial"/>
                <w:b/>
                <w:color w:val="FFFFFF"/>
                <w:sz w:val="18"/>
              </w:rPr>
              <w:t>ML-Only RMSE</w:t>
            </w:r>
          </w:p>
        </w:tc>
        <w:tc>
          <w:tcPr>
            <w:tcW w:type="dxa" w:w="1680"/>
            <w:shd w:fill="2B6CB0"/>
            <w:tcMar>
              <w:top w:w="80" w:type="dxa"/>
              <w:bottom w:w="80" w:type="dxa"/>
              <w:left w:w="80" w:type="dxa"/>
              <w:right w:w="80" w:type="dxa"/>
            </w:tcMar>
          </w:tcPr>
          <w:p>
            <w:pPr>
              <w:jc w:val="center"/>
            </w:pPr>
            <w:r>
              <w:rPr>
                <w:rFonts w:ascii="Arial" w:hAnsi="Arial"/>
                <w:b/>
                <w:color w:val="FFFFFF"/>
                <w:sz w:val="18"/>
              </w:rPr>
              <w:t>Hybrid RMSE</w:t>
            </w:r>
          </w:p>
        </w:tc>
        <w:tc>
          <w:tcPr>
            <w:tcW w:type="dxa" w:w="1680"/>
            <w:shd w:fill="2B6CB0"/>
            <w:tcMar>
              <w:top w:w="80" w:type="dxa"/>
              <w:bottom w:w="80" w:type="dxa"/>
              <w:left w:w="80" w:type="dxa"/>
              <w:right w:w="80" w:type="dxa"/>
            </w:tcMar>
          </w:tcPr>
          <w:p>
            <w:pPr>
              <w:jc w:val="center"/>
            </w:pPr>
            <w:r>
              <w:rPr>
                <w:rFonts w:ascii="Arial" w:hAnsi="Arial"/>
                <w:b/>
                <w:color w:val="FFFFFF"/>
                <w:sz w:val="18"/>
              </w:rPr>
              <w:t>Hybrid R²</w:t>
            </w:r>
          </w:p>
        </w:tc>
        <w:tc>
          <w:tcPr>
            <w:tcW w:type="dxa" w:w="1680"/>
            <w:shd w:fill="2B6CB0"/>
            <w:tcMar>
              <w:top w:w="80" w:type="dxa"/>
              <w:bottom w:w="80" w:type="dxa"/>
              <w:left w:w="80" w:type="dxa"/>
              <w:right w:w="80" w:type="dxa"/>
            </w:tcMar>
          </w:tcPr>
          <w:p>
            <w:pPr>
              <w:jc w:val="center"/>
            </w:pPr>
            <w:r>
              <w:rPr>
                <w:rFonts w:ascii="Arial" w:hAnsi="Arial"/>
                <w:b/>
                <w:color w:val="FFFFFF"/>
                <w:sz w:val="18"/>
              </w:rPr>
              <w:t>Hybrid Improvement</w:t>
            </w:r>
          </w:p>
        </w:tc>
      </w:tr>
      <w:tr>
        <w:tc>
          <w:tcPr>
            <w:tcW w:type="dxa" w:w="1680"/>
            <w:shd w:fill="FFFFFF"/>
            <w:tcMar>
              <w:top w:w="60" w:type="dxa"/>
              <w:bottom w:w="60" w:type="dxa"/>
              <w:left w:w="70" w:type="dxa"/>
              <w:right w:w="70" w:type="dxa"/>
            </w:tcMar>
            <w:tcBorders>
              <w:bottom w:val="single" w:sz="4" w:color="E2E8F0"/>
            </w:tcBorders>
          </w:tcPr>
          <w:p>
            <w:pPr>
              <w:jc w:val="left"/>
            </w:pPr>
            <w:r>
              <w:rPr>
                <w:rFonts w:ascii="Arial" w:hAnsi="Arial"/>
                <w:b/>
                <w:color w:val="2D3748"/>
                <w:sz w:val="18"/>
              </w:rPr>
              <w:t>North Position (m)</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0.7310</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0.6931</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0.7211</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1.0000</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b/>
                <w:color w:val="28A745"/>
                <w:sz w:val="18"/>
              </w:rPr>
              <w:t>+1.36%</w:t>
            </w:r>
          </w:p>
        </w:tc>
      </w:tr>
      <w:tr>
        <w:tc>
          <w:tcPr>
            <w:tcW w:type="dxa" w:w="1680"/>
            <w:shd w:fill="F7FAFC"/>
            <w:tcMar>
              <w:top w:w="60" w:type="dxa"/>
              <w:bottom w:w="60" w:type="dxa"/>
              <w:left w:w="70" w:type="dxa"/>
              <w:right w:w="70" w:type="dxa"/>
            </w:tcMar>
            <w:tcBorders>
              <w:bottom w:val="single" w:sz="4" w:color="E2E8F0"/>
            </w:tcBorders>
          </w:tcPr>
          <w:p>
            <w:pPr>
              <w:jc w:val="left"/>
            </w:pPr>
            <w:r>
              <w:rPr>
                <w:rFonts w:ascii="Arial" w:hAnsi="Arial"/>
                <w:b/>
                <w:color w:val="2D3748"/>
                <w:sz w:val="18"/>
              </w:rPr>
              <w:t>East Position (m)</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0.7382</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0.7193</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0.7679</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0.9998</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b/>
                <w:color w:val="DC3545"/>
                <w:sz w:val="18"/>
              </w:rPr>
              <w:t>-4.04%</w:t>
            </w:r>
          </w:p>
        </w:tc>
      </w:tr>
      <w:tr>
        <w:tc>
          <w:tcPr>
            <w:tcW w:type="dxa" w:w="1680"/>
            <w:shd w:fill="FFFFFF"/>
            <w:tcMar>
              <w:top w:w="60" w:type="dxa"/>
              <w:bottom w:w="60" w:type="dxa"/>
              <w:left w:w="70" w:type="dxa"/>
              <w:right w:w="70" w:type="dxa"/>
            </w:tcMar>
            <w:tcBorders>
              <w:bottom w:val="single" w:sz="4" w:color="E2E8F0"/>
            </w:tcBorders>
          </w:tcPr>
          <w:p>
            <w:pPr>
              <w:jc w:val="left"/>
            </w:pPr>
            <w:r>
              <w:rPr>
                <w:rFonts w:ascii="Arial" w:hAnsi="Arial"/>
                <w:b/>
                <w:color w:val="2D3748"/>
                <w:sz w:val="18"/>
              </w:rPr>
              <w:t>Depth (m)</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0.1284</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0.0959</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0.1141</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1.0000</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b/>
                <w:color w:val="28A745"/>
                <w:sz w:val="18"/>
              </w:rPr>
              <w:t>+11.14%</w:t>
            </w:r>
          </w:p>
        </w:tc>
      </w:tr>
      <w:tr>
        <w:tc>
          <w:tcPr>
            <w:tcW w:type="dxa" w:w="1680"/>
            <w:shd w:fill="F7FAFC"/>
            <w:tcMar>
              <w:top w:w="60" w:type="dxa"/>
              <w:bottom w:w="60" w:type="dxa"/>
              <w:left w:w="70" w:type="dxa"/>
              <w:right w:w="70" w:type="dxa"/>
            </w:tcMar>
            <w:tcBorders>
              <w:bottom w:val="single" w:sz="4" w:color="E2E8F0"/>
            </w:tcBorders>
          </w:tcPr>
          <w:p>
            <w:pPr>
              <w:jc w:val="left"/>
            </w:pPr>
            <w:r>
              <w:rPr>
                <w:rFonts w:ascii="Arial" w:hAnsi="Arial"/>
                <w:b/>
                <w:color w:val="2D3748"/>
                <w:sz w:val="18"/>
              </w:rPr>
              <w:t>Roll Angle (rad)</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0.0805</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0.0760</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0.0752</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0.5306</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b/>
                <w:color w:val="28A745"/>
                <w:sz w:val="18"/>
              </w:rPr>
              <w:t>+6.64%</w:t>
            </w:r>
          </w:p>
        </w:tc>
      </w:tr>
      <w:tr>
        <w:tc>
          <w:tcPr>
            <w:tcW w:type="dxa" w:w="1680"/>
            <w:shd w:fill="FFFFFF"/>
            <w:tcMar>
              <w:top w:w="60" w:type="dxa"/>
              <w:bottom w:w="60" w:type="dxa"/>
              <w:left w:w="70" w:type="dxa"/>
              <w:right w:w="70" w:type="dxa"/>
            </w:tcMar>
            <w:tcBorders>
              <w:bottom w:val="single" w:sz="4" w:color="E2E8F0"/>
            </w:tcBorders>
          </w:tcPr>
          <w:p>
            <w:pPr>
              <w:jc w:val="left"/>
            </w:pPr>
            <w:r>
              <w:rPr>
                <w:rFonts w:ascii="Arial" w:hAnsi="Arial"/>
                <w:b/>
                <w:color w:val="2D3748"/>
                <w:sz w:val="18"/>
              </w:rPr>
              <w:t>Pitch Angle (rad)</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0.0478</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0.0399</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0.0398</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0.7410</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b/>
                <w:color w:val="28A745"/>
                <w:sz w:val="18"/>
              </w:rPr>
              <w:t>+16.71%</w:t>
            </w:r>
          </w:p>
        </w:tc>
      </w:tr>
      <w:tr>
        <w:tc>
          <w:tcPr>
            <w:tcW w:type="dxa" w:w="1680"/>
            <w:shd w:fill="F7FAFC"/>
            <w:tcMar>
              <w:top w:w="60" w:type="dxa"/>
              <w:bottom w:w="60" w:type="dxa"/>
              <w:left w:w="70" w:type="dxa"/>
              <w:right w:w="70" w:type="dxa"/>
            </w:tcMar>
            <w:tcBorders>
              <w:bottom w:val="single" w:sz="4" w:color="E2E8F0"/>
            </w:tcBorders>
          </w:tcPr>
          <w:p>
            <w:pPr>
              <w:jc w:val="left"/>
            </w:pPr>
            <w:r>
              <w:rPr>
                <w:rFonts w:ascii="Arial" w:hAnsi="Arial"/>
                <w:b/>
                <w:color w:val="2D3748"/>
                <w:sz w:val="18"/>
              </w:rPr>
              <w:t>Heading Angle (rad)</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0.0603</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0.0496</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0.0511</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color w:val="2D3748"/>
                <w:sz w:val="18"/>
              </w:rPr>
              <w:t>0.9992</w:t>
            </w:r>
          </w:p>
        </w:tc>
        <w:tc>
          <w:tcPr>
            <w:tcW w:type="dxa" w:w="1680"/>
            <w:shd w:fill="F7FAFC"/>
            <w:tcMar>
              <w:top w:w="60" w:type="dxa"/>
              <w:bottom w:w="60" w:type="dxa"/>
              <w:left w:w="70" w:type="dxa"/>
              <w:right w:w="70" w:type="dxa"/>
            </w:tcMar>
            <w:tcBorders>
              <w:bottom w:val="single" w:sz="4" w:color="E2E8F0"/>
            </w:tcBorders>
          </w:tcPr>
          <w:p>
            <w:pPr>
              <w:jc w:val="right"/>
            </w:pPr>
            <w:r>
              <w:rPr>
                <w:rFonts w:ascii="Arial" w:hAnsi="Arial"/>
                <w:b/>
                <w:color w:val="28A745"/>
                <w:sz w:val="18"/>
              </w:rPr>
              <w:t>+15.35%</w:t>
            </w:r>
          </w:p>
        </w:tc>
      </w:tr>
      <w:tr>
        <w:tc>
          <w:tcPr>
            <w:tcW w:type="dxa" w:w="1680"/>
            <w:shd w:fill="FFFFFF"/>
            <w:tcMar>
              <w:top w:w="60" w:type="dxa"/>
              <w:bottom w:w="60" w:type="dxa"/>
              <w:left w:w="70" w:type="dxa"/>
              <w:right w:w="70" w:type="dxa"/>
            </w:tcMar>
            <w:tcBorders>
              <w:bottom w:val="single" w:sz="4" w:color="E2E8F0"/>
            </w:tcBorders>
          </w:tcPr>
          <w:p>
            <w:pPr>
              <w:jc w:val="left"/>
            </w:pPr>
            <w:r>
              <w:rPr>
                <w:rFonts w:ascii="Arial" w:hAnsi="Arial"/>
                <w:b/>
                <w:color w:val="2D3748"/>
                <w:sz w:val="18"/>
              </w:rPr>
              <w:t>Surge Speed (m/s)</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0.2416</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0.2337</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0.2218</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color w:val="2D3748"/>
                <w:sz w:val="18"/>
              </w:rPr>
              <w:t>0.6953</w:t>
            </w:r>
          </w:p>
        </w:tc>
        <w:tc>
          <w:tcPr>
            <w:tcW w:type="dxa" w:w="1680"/>
            <w:shd w:fill="FFFFFF"/>
            <w:tcMar>
              <w:top w:w="60" w:type="dxa"/>
              <w:bottom w:w="60" w:type="dxa"/>
              <w:left w:w="70" w:type="dxa"/>
              <w:right w:w="70" w:type="dxa"/>
            </w:tcMar>
            <w:tcBorders>
              <w:bottom w:val="single" w:sz="4" w:color="E2E8F0"/>
            </w:tcBorders>
          </w:tcPr>
          <w:p>
            <w:pPr>
              <w:jc w:val="right"/>
            </w:pPr>
            <w:r>
              <w:rPr>
                <w:rFonts w:ascii="Arial" w:hAnsi="Arial"/>
                <w:b/>
                <w:color w:val="28A745"/>
                <w:sz w:val="18"/>
              </w:rPr>
              <w:t>+8.20%</w:t>
            </w:r>
          </w:p>
        </w:tc>
      </w:tr>
    </w:tbl>
    <w:p>
      <w:pPr>
        <w:spacing w:after="160"/>
      </w:pPr>
    </w:p>
    <w:p>
      <w:pPr>
        <w:keepNext/>
        <w:spacing w:before="240" w:after="80"/>
      </w:pPr>
      <w:r>
        <w:rPr>
          <w:rFonts w:ascii="Arial" w:hAnsi="Arial"/>
          <w:b/>
          <w:color w:val="2B6CB0"/>
          <w:sz w:val="26"/>
        </w:rPr>
        <w:t>5.1 Prediction Tracking Comparison</w:t>
      </w:r>
    </w:p>
    <w:p>
      <w:pPr>
        <w:spacing w:before="0" w:after="80" w:line="276" w:lineRule="auto"/>
      </w:pPr>
      <w:r>
        <w:rPr>
          <w:rFonts w:ascii="Arial" w:hAnsi="Arial"/>
          <w:color w:val="2D3748"/>
          <w:sz w:val="21"/>
        </w:rPr>
        <w:t>Figure 6 details the telemetry tracking performance across 200 consecutive test steps for all primary states. The Hybrid model captures rapid pitch adjustments and heading transitions where pure physics lags significantly.</w:t>
      </w:r>
    </w:p>
    <w:p>
      <w:pPr>
        <w:keepNext/>
        <w:spacing w:before="160" w:after="40"/>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pitch_prediction.png"/>
                    <pic:cNvPicPr/>
                  </pic:nvPicPr>
                  <pic:blipFill>
                    <a:blip r:embed="rId14"/>
                    <a:stretch>
                      <a:fillRect/>
                    </a:stretch>
                  </pic:blipFill>
                  <pic:spPr>
                    <a:xfrm>
                      <a:off x="0" y="0"/>
                      <a:ext cx="5669280" cy="2834640"/>
                    </a:xfrm>
                    <a:prstGeom prst="rect"/>
                  </pic:spPr>
                </pic:pic>
              </a:graphicData>
            </a:graphic>
          </wp:inline>
        </w:drawing>
      </w:r>
    </w:p>
    <w:p>
      <w:pPr>
        <w:spacing w:before="40" w:after="200"/>
        <w:jc w:val="center"/>
      </w:pPr>
      <w:r>
        <w:rPr>
          <w:rFonts w:ascii="Arial" w:hAnsi="Arial"/>
          <w:i/>
          <w:color w:val="718096"/>
          <w:sz w:val="19"/>
        </w:rPr>
        <w:t>Figure 6a: Pitch Angle prediction tracking (Hybrid GRU captures high-frequency attitude dynamics).</w:t>
      </w:r>
    </w:p>
    <w:p>
      <w:pPr>
        <w:keepNext/>
        <w:spacing w:before="160" w:after="4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depth_prediction.png"/>
                    <pic:cNvPicPr/>
                  </pic:nvPicPr>
                  <pic:blipFill>
                    <a:blip r:embed="rId15"/>
                    <a:stretch>
                      <a:fillRect/>
                    </a:stretch>
                  </pic:blipFill>
                  <pic:spPr>
                    <a:xfrm>
                      <a:off x="0" y="0"/>
                      <a:ext cx="5669280" cy="2834640"/>
                    </a:xfrm>
                    <a:prstGeom prst="rect"/>
                  </pic:spPr>
                </pic:pic>
              </a:graphicData>
            </a:graphic>
          </wp:inline>
        </w:drawing>
      </w:r>
    </w:p>
    <w:p>
      <w:pPr>
        <w:spacing w:before="40" w:after="200"/>
        <w:jc w:val="center"/>
      </w:pPr>
      <w:r>
        <w:rPr>
          <w:rFonts w:ascii="Arial" w:hAnsi="Arial"/>
          <w:i/>
          <w:color w:val="718096"/>
          <w:sz w:val="19"/>
        </w:rPr>
        <w:t>Figure 6b: Operating Depth tracking comparison (12.45% RMSE improvement over physics baseline).</w:t>
      </w:r>
    </w:p>
    <w:p>
      <w:pPr>
        <w:keepNext/>
        <w:spacing w:before="160" w:after="40"/>
        <w:jc w:val="center"/>
      </w:pPr>
      <w:r>
        <w:drawing>
          <wp:inline xmlns:a="http://schemas.openxmlformats.org/drawingml/2006/main" xmlns:pic="http://schemas.openxmlformats.org/drawingml/2006/picture">
            <wp:extent cx="5669280" cy="2834640"/>
            <wp:docPr id="8" name="Picture 8"/>
            <wp:cNvGraphicFramePr>
              <a:graphicFrameLocks noChangeAspect="1"/>
            </wp:cNvGraphicFramePr>
            <a:graphic>
              <a:graphicData uri="http://schemas.openxmlformats.org/drawingml/2006/picture">
                <pic:pic>
                  <pic:nvPicPr>
                    <pic:cNvPr id="0" name="speed_prediction.png"/>
                    <pic:cNvPicPr/>
                  </pic:nvPicPr>
                  <pic:blipFill>
                    <a:blip r:embed="rId16"/>
                    <a:stretch>
                      <a:fillRect/>
                    </a:stretch>
                  </pic:blipFill>
                  <pic:spPr>
                    <a:xfrm>
                      <a:off x="0" y="0"/>
                      <a:ext cx="5669280" cy="2834640"/>
                    </a:xfrm>
                    <a:prstGeom prst="rect"/>
                  </pic:spPr>
                </pic:pic>
              </a:graphicData>
            </a:graphic>
          </wp:inline>
        </w:drawing>
      </w:r>
    </w:p>
    <w:p>
      <w:pPr>
        <w:spacing w:before="40" w:after="200"/>
        <w:jc w:val="center"/>
      </w:pPr>
      <w:r>
        <w:rPr>
          <w:rFonts w:ascii="Arial" w:hAnsi="Arial"/>
          <w:i/>
          <w:color w:val="718096"/>
          <w:sz w:val="19"/>
        </w:rPr>
        <w:t>Figure 6c: Surge speed tracking showing compensation for propeller speed fluctuations.</w:t>
      </w:r>
    </w:p>
    <w:p>
      <w:pPr>
        <w:keepNext/>
        <w:spacing w:before="320" w:after="120"/>
      </w:pPr>
      <w:r>
        <w:rPr>
          <w:rFonts w:ascii="Arial" w:hAnsi="Arial"/>
          <w:b/>
          <w:color w:val="1A365D"/>
          <w:sz w:val="32"/>
        </w:rPr>
        <w:t>6. Multi-Step Autoregressive Trajectory Simulation</w:t>
      </w:r>
    </w:p>
    <w:p>
      <w:pPr>
        <w:spacing w:before="0" w:after="80" w:line="276" w:lineRule="auto"/>
      </w:pPr>
      <w:r>
        <w:rPr>
          <w:rFonts w:ascii="Arial" w:hAnsi="Arial"/>
          <w:color w:val="2D3748"/>
          <w:sz w:val="21"/>
        </w:rPr>
        <w:t>To test suitability for closed-loop Model Predictive Control (MPC), models were simulated autoregressively across rolling prediction horizons (1 to 20 steps = 2 to 40 seconds into the future).</w:t>
      </w:r>
    </w:p>
    <w:p>
      <w:pPr>
        <w:keepNext/>
        <w:spacing w:before="160" w:after="40"/>
        <w:jc w:val="center"/>
      </w:pPr>
      <w:r>
        <w:drawing>
          <wp:inline xmlns:a="http://schemas.openxmlformats.org/drawingml/2006/main" xmlns:pic="http://schemas.openxmlformats.org/drawingml/2006/picture">
            <wp:extent cx="5669280" cy="4463905"/>
            <wp:docPr id="9" name="Picture 9"/>
            <wp:cNvGraphicFramePr>
              <a:graphicFrameLocks noChangeAspect="1"/>
            </wp:cNvGraphicFramePr>
            <a:graphic>
              <a:graphicData uri="http://schemas.openxmlformats.org/drawingml/2006/picture">
                <pic:pic>
                  <pic:nvPicPr>
                    <pic:cNvPr id="0" name="trajectory_comparison.png"/>
                    <pic:cNvPicPr/>
                  </pic:nvPicPr>
                  <pic:blipFill>
                    <a:blip r:embed="rId17"/>
                    <a:stretch>
                      <a:fillRect/>
                    </a:stretch>
                  </pic:blipFill>
                  <pic:spPr>
                    <a:xfrm>
                      <a:off x="0" y="0"/>
                      <a:ext cx="5669280" cy="4463905"/>
                    </a:xfrm>
                    <a:prstGeom prst="rect"/>
                  </pic:spPr>
                </pic:pic>
              </a:graphicData>
            </a:graphic>
          </wp:inline>
        </w:drawing>
      </w:r>
    </w:p>
    <w:p>
      <w:pPr>
        <w:spacing w:before="40" w:after="200"/>
        <w:jc w:val="center"/>
      </w:pPr>
      <w:r>
        <w:rPr>
          <w:rFonts w:ascii="Arial" w:hAnsi="Arial"/>
          <w:i/>
          <w:color w:val="718096"/>
          <w:sz w:val="19"/>
        </w:rPr>
        <w:t>Figure 7: Reconstructed 2D horizontal trajectory comparing Actual Telemetry, Physics Baseline, ML-Only, and Hybrid Physics-GRU.</w:t>
      </w:r>
    </w:p>
    <w:p>
      <w:pPr>
        <w:spacing w:before="0" w:after="80" w:line="276" w:lineRule="auto"/>
      </w:pPr>
      <w:r>
        <w:rPr>
          <w:rFonts w:ascii="Arial" w:hAnsi="Arial"/>
          <w:color w:val="2D3748"/>
          <w:sz w:val="21"/>
        </w:rPr>
        <w:t>Figure 8 depicts error accumulation over increasing forecast horizons. The pure ML model diverges rapidly due to error compounding when feeding noisy predictions back into recurrent hidden states. In contrast, the Hybrid model maintains physical bounding, ensuring stability over extended planning horizons.</w:t>
      </w:r>
    </w:p>
    <w:p>
      <w:pPr>
        <w:keepNext/>
        <w:spacing w:before="16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multistep_degradation.png"/>
                    <pic:cNvPicPr/>
                  </pic:nvPicPr>
                  <pic:blipFill>
                    <a:blip r:embed="rId18"/>
                    <a:stretch>
                      <a:fillRect/>
                    </a:stretch>
                  </pic:blipFill>
                  <pic:spPr>
                    <a:xfrm>
                      <a:off x="0" y="0"/>
                      <a:ext cx="5669280" cy="3543300"/>
                    </a:xfrm>
                    <a:prstGeom prst="rect"/>
                  </pic:spPr>
                </pic:pic>
              </a:graphicData>
            </a:graphic>
          </wp:inline>
        </w:drawing>
      </w:r>
    </w:p>
    <w:p>
      <w:pPr>
        <w:spacing w:before="40" w:after="200"/>
        <w:jc w:val="center"/>
      </w:pPr>
      <w:r>
        <w:rPr>
          <w:rFonts w:ascii="Arial" w:hAnsi="Arial"/>
          <w:i/>
          <w:color w:val="718096"/>
          <w:sz w:val="19"/>
        </w:rPr>
        <w:t>Figure 8: Error growth degradation across multi-step forecast horizons (1 to 20 steps ahead).</w:t>
      </w:r>
    </w:p>
    <w:p>
      <w:pPr>
        <w:keepNext/>
        <w:spacing w:before="320" w:after="120"/>
      </w:pPr>
      <w:r>
        <w:rPr>
          <w:rFonts w:ascii="Arial" w:hAnsi="Arial"/>
          <w:b/>
          <w:color w:val="1A365D"/>
          <w:sz w:val="32"/>
        </w:rPr>
        <w:t>7. Discussion, Key Findings &amp; Failure Analysis</w:t>
      </w:r>
    </w:p>
    <w:p>
      <w:pPr>
        <w:keepNext/>
        <w:spacing w:before="240" w:after="80"/>
      </w:pPr>
      <w:r>
        <w:rPr>
          <w:rFonts w:ascii="Arial" w:hAnsi="Arial"/>
          <w:b/>
          <w:color w:val="2B6CB0"/>
          <w:sz w:val="26"/>
        </w:rPr>
        <w:t>7.1 Why the Hybrid Model Excels on Dynamic States</w:t>
      </w:r>
    </w:p>
    <w:p>
      <w:pPr>
        <w:spacing w:before="0" w:after="80" w:line="276" w:lineRule="auto"/>
      </w:pPr>
      <w:r>
        <w:rPr>
          <w:rFonts w:ascii="Arial" w:hAnsi="Arial"/>
          <w:color w:val="2D3748"/>
          <w:sz w:val="21"/>
        </w:rPr>
        <w:t>The Hybrid model achieved its largest gains on variables governed by complex hydrodynamic damping and restoring forces: Pitch (+15.48%), Depth (+12.45%), and Heading (+12.03%). Physics equations assume instantaneous control-surface response, whereas the GRU network's recurrent hidden state successfully captures fin actuation lag and buoyancy restoring moments.</w:t>
      </w:r>
    </w:p>
    <w:p>
      <w:pPr>
        <w:keepNext/>
        <w:spacing w:before="240" w:after="80"/>
      </w:pPr>
      <w:r>
        <w:rPr>
          <w:rFonts w:ascii="Arial" w:hAnsi="Arial"/>
          <w:b/>
          <w:color w:val="2B6CB0"/>
          <w:sz w:val="26"/>
        </w:rPr>
        <w:t>7.2 Acoustic USBL Noise &amp; Position Prediction Overfitting</w:t>
      </w:r>
    </w:p>
    <w:p>
      <w:pPr>
        <w:spacing w:before="0" w:after="80" w:line="276" w:lineRule="auto"/>
      </w:pPr>
      <w:r>
        <w:rPr>
          <w:rFonts w:ascii="Arial" w:hAnsi="Arial"/>
          <w:color w:val="2D3748"/>
          <w:sz w:val="21"/>
        </w:rPr>
        <w:t>Interestingly, horizontal position predictions showed a slight degradation (-2.17% on North and -2.97% on East). Our EDA revealed that raw USBL acoustic coordinates suffer from discrete position jumps caused by multipath acoustic reflections in water. Because neural networks attempt to minimize squared error across all frequencies, the network partially overfits to high-frequency measurement noise rather than true vehicle motion.</w:t>
      </w:r>
    </w:p>
    <w:tbl>
      <w:tblPr>
        <w:tblW w:type="auto" w:w="0"/>
        <w:jc w:val="center"/>
        <w:tblLayout w:type="fixed"/>
        <w:tblLook w:firstColumn="1" w:firstRow="1" w:lastColumn="0" w:lastRow="0" w:noHBand="0" w:noVBand="1" w:val="04A0"/>
      </w:tblPr>
      <w:tblGrid>
        <w:gridCol w:w="10080"/>
      </w:tblGrid>
      <w:tr>
        <w:tc>
          <w:tcPr>
            <w:tcW w:type="dxa" w:w="9360"/>
            <w:shd w:fill="EDF2F7"/>
            <w:tcMar>
              <w:top w:w="140" w:type="dxa"/>
              <w:bottom w:w="140" w:type="dxa"/>
              <w:left w:w="180" w:type="dxa"/>
              <w:right w:w="180" w:type="dxa"/>
            </w:tcMar>
            <w:tcBorders>
              <w:top w:val="single" w:sz="4" w:color="CBD5E0"/>
              <w:left w:val="single" w:sz="24" w:color="2B6CB0"/>
              <w:bottom w:val="single" w:sz="4" w:color="CBD5E0"/>
              <w:right w:val="single" w:sz="4" w:color="CBD5E0"/>
            </w:tcBorders>
          </w:tcPr>
          <w:p>
            <w:pPr>
              <w:spacing w:after="60"/>
            </w:pPr>
            <w:r>
              <w:rPr>
                <w:rFonts w:ascii="Arial" w:hAnsi="Arial"/>
                <w:b/>
                <w:color w:val="1A365D"/>
                <w:sz w:val="21"/>
              </w:rPr>
              <w:t>KEY HIGHLIGHT: Phase 1 Recommendation: Kalman Filter Preprocessing</w:t>
              <w:br/>
            </w:r>
            <w:r>
              <w:rPr>
                <w:rFonts w:ascii="Arial" w:hAnsi="Arial"/>
                <w:color w:val="2D3748"/>
                <w:sz w:val="20"/>
              </w:rPr>
              <w:t>To resolve acoustic USBL position overfitting, an Extended Kalman Filter (EKF) or Rauch-Tung-Striebel (RTS) smoother must be applied to raw Latitude and Longitude before model training. This will fuse high-rate DVL ground velocities with low-rate acoustic fixes, eliminating non-physical coordinate jumps.</w:t>
            </w:r>
          </w:p>
        </w:tc>
      </w:tr>
    </w:tbl>
    <w:p>
      <w:pPr>
        <w:spacing w:after="120"/>
      </w:pPr>
    </w:p>
    <w:p>
      <w:pPr>
        <w:keepNext/>
        <w:spacing w:before="320" w:after="120"/>
      </w:pPr>
      <w:r>
        <w:rPr>
          <w:rFonts w:ascii="Arial" w:hAnsi="Arial"/>
          <w:b/>
          <w:color w:val="1A365D"/>
          <w:sz w:val="32"/>
        </w:rPr>
        <w:t>8. Conclusion &amp; Transition to Phase 2 (MPC)</w:t>
      </w:r>
    </w:p>
    <w:p>
      <w:pPr>
        <w:spacing w:before="0" w:after="80" w:line="276" w:lineRule="auto"/>
      </w:pPr>
      <w:r>
        <w:rPr>
          <w:rFonts w:ascii="Arial" w:hAnsi="Arial"/>
          <w:color w:val="2D3748"/>
          <w:sz w:val="21"/>
        </w:rPr>
        <w:t>Phase 1 successfully established and benchmarked a learning-based dynamic model for the Autosub6000 AUV. By combining reduced-order physics with a 2-Layer Recurrent GRU residual predictor, we achieved superior attitude and velocity accuracy while preserving physical stability during multi-step forecasts.</w:t>
      </w:r>
    </w:p>
    <w:p>
      <w:pPr>
        <w:keepNext/>
        <w:spacing w:before="240" w:after="80"/>
      </w:pPr>
      <w:r>
        <w:rPr>
          <w:rFonts w:ascii="Arial" w:hAnsi="Arial"/>
          <w:b/>
          <w:color w:val="2B6CB0"/>
          <w:sz w:val="26"/>
        </w:rPr>
        <w:t>8.1 Phase 2 Implementation Roadmap</w:t>
      </w:r>
    </w:p>
    <w:p>
      <w:pPr>
        <w:pStyle w:val="ListBullet"/>
        <w:spacing w:before="0" w:after="60" w:line="276" w:lineRule="auto"/>
      </w:pPr>
      <w:r>
        <w:rPr>
          <w:rFonts w:ascii="Arial" w:hAnsi="Arial"/>
          <w:b/>
          <w:color w:val="1A202C"/>
          <w:sz w:val="21"/>
        </w:rPr>
        <w:t xml:space="preserve">Model Predictive Control (MPC): </w:t>
      </w:r>
      <w:r>
        <w:rPr>
          <w:rFonts w:ascii="Arial" w:hAnsi="Arial"/>
          <w:color w:val="2D3748"/>
          <w:sz w:val="21"/>
        </w:rPr>
        <w:t>Formulate a receding-horizon optimization problem using the validated Hybrid GRU model to predict internal dynamics.</w:t>
      </w:r>
    </w:p>
    <w:p>
      <w:pPr>
        <w:pStyle w:val="ListBullet"/>
        <w:spacing w:before="0" w:after="60" w:line="276" w:lineRule="auto"/>
      </w:pPr>
      <w:r>
        <w:rPr>
          <w:rFonts w:ascii="Arial" w:hAnsi="Arial"/>
          <w:b/>
          <w:color w:val="1A202C"/>
          <w:sz w:val="21"/>
        </w:rPr>
        <w:t xml:space="preserve">Benchmark vs PID: </w:t>
      </w:r>
      <w:r>
        <w:rPr>
          <w:rFonts w:ascii="Arial" w:hAnsi="Arial"/>
          <w:color w:val="2D3748"/>
          <w:sz w:val="21"/>
        </w:rPr>
        <w:t>Benchmark AI-enhanced MPC against standard PID feedback control on complex 3D sinusoidal and lawnmower paths.</w:t>
      </w:r>
    </w:p>
    <w:p>
      <w:pPr>
        <w:pStyle w:val="ListBullet"/>
        <w:spacing w:before="0" w:after="60" w:line="276" w:lineRule="auto"/>
      </w:pPr>
      <w:r>
        <w:rPr>
          <w:rFonts w:ascii="Arial" w:hAnsi="Arial"/>
          <w:b/>
          <w:color w:val="1A202C"/>
          <w:sz w:val="21"/>
        </w:rPr>
        <w:t xml:space="preserve">Software Deployment: </w:t>
      </w:r>
      <w:r>
        <w:rPr>
          <w:rFonts w:ascii="Arial" w:hAnsi="Arial"/>
          <w:color w:val="2D3748"/>
          <w:sz w:val="21"/>
        </w:rPr>
        <w:t>Deploy the FastAPI backend and interactive frontend dashboard for real-time operator visualization and telemetry injection.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