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F963" w14:textId="77777777" w:rsidR="00D72F2F" w:rsidRDefault="00D72F2F" w:rsidP="00D72F2F">
      <w:pPr>
        <w:ind w:left="360"/>
        <w:rPr>
          <w:b/>
        </w:rPr>
      </w:pPr>
      <w:bookmarkStart w:id="0" w:name="postprocessing"/>
      <w:r>
        <w:rPr>
          <w:b/>
        </w:rPr>
        <w:t>Postprocessing SPARC output</w:t>
      </w:r>
      <w:bookmarkEnd w:id="0"/>
    </w:p>
    <w:p w14:paraId="5C8B1332" w14:textId="77777777" w:rsidR="00D72F2F" w:rsidRPr="00591E38" w:rsidRDefault="00D72F2F" w:rsidP="00D72F2F">
      <w:pPr>
        <w:ind w:left="720"/>
        <w:rPr>
          <w:b/>
          <w:color w:val="000000" w:themeColor="text1"/>
        </w:rPr>
      </w:pPr>
      <w:r w:rsidRPr="00591E38">
        <w:rPr>
          <w:b/>
          <w:color w:val="000000" w:themeColor="text1"/>
        </w:rPr>
        <w:t>hands-and-feet</w:t>
      </w:r>
    </w:p>
    <w:p w14:paraId="5E6C42E6" w14:textId="77777777" w:rsidR="00D72F2F" w:rsidRDefault="00D72F2F" w:rsidP="00D72F2F">
      <w:pPr>
        <w:ind w:left="1080"/>
        <w:rPr>
          <w:color w:val="000000" w:themeColor="text1"/>
        </w:rPr>
      </w:pPr>
      <w:r w:rsidRPr="00591E38">
        <w:rPr>
          <w:color w:val="000000" w:themeColor="text1"/>
        </w:rPr>
        <w:t>First, we need to copy the output files into the “runs” directory</w:t>
      </w:r>
      <w:r>
        <w:rPr>
          <w:color w:val="000000" w:themeColor="text1"/>
        </w:rPr>
        <w:t xml:space="preserve">.  Reminder:  green text is what is typed by the user; cyan text is an alias defined </w:t>
      </w:r>
      <w:proofErr w:type="gramStart"/>
      <w:r>
        <w:rPr>
          <w:color w:val="000000" w:themeColor="text1"/>
        </w:rPr>
        <w:t>in .</w:t>
      </w:r>
      <w:proofErr w:type="spellStart"/>
      <w:proofErr w:type="gramEnd"/>
      <w:r>
        <w:rPr>
          <w:color w:val="000000" w:themeColor="text1"/>
        </w:rPr>
        <w:t>bashrc.ext</w:t>
      </w:r>
      <w:proofErr w:type="spellEnd"/>
      <w:r>
        <w:rPr>
          <w:color w:val="000000" w:themeColor="text1"/>
        </w:rPr>
        <w:t xml:space="preserve"> (also typed by the user)</w:t>
      </w:r>
    </w:p>
    <w:p w14:paraId="7A4F544F" w14:textId="77777777" w:rsidR="00D72F2F" w:rsidRPr="004079C2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>It might be a good idea for someone at some point to add code to the batch script (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knl_702.sh) that copies the ascot output file to the …/ascot5/runs directory so that we don’t have to manually do this tedious copy.  </w:t>
      </w:r>
    </w:p>
    <w:p w14:paraId="506243F9" w14:textId="77777777" w:rsidR="00D72F2F" w:rsidRDefault="00D72F2F" w:rsidP="00D72F2F">
      <w:pPr>
        <w:ind w:left="1080"/>
        <w:rPr>
          <w:color w:val="00B0F0"/>
        </w:rPr>
      </w:pPr>
      <w:proofErr w:type="spellStart"/>
      <w:r>
        <w:rPr>
          <w:color w:val="00B0F0"/>
        </w:rPr>
        <w:t>toruns</w:t>
      </w:r>
      <w:proofErr w:type="spellEnd"/>
      <w:r>
        <w:rPr>
          <w:color w:val="00B0F0"/>
        </w:rPr>
        <w:tab/>
      </w:r>
    </w:p>
    <w:p w14:paraId="64D6893D" w14:textId="77777777" w:rsidR="00D72F2F" w:rsidRDefault="00D72F2F" w:rsidP="00D72F2F">
      <w:pPr>
        <w:ind w:left="1080"/>
        <w:rPr>
          <w:color w:val="00B050"/>
        </w:rPr>
      </w:pPr>
      <w:proofErr w:type="spellStart"/>
      <w:r w:rsidRPr="00857EAA">
        <w:rPr>
          <w:color w:val="00B0F0"/>
        </w:rPr>
        <w:t>copy_to_runs</w:t>
      </w:r>
      <w:proofErr w:type="spellEnd"/>
      <w:r w:rsidRPr="00857EAA">
        <w:rPr>
          <w:color w:val="00B0F0"/>
        </w:rPr>
        <w:t xml:space="preserve"> </w:t>
      </w:r>
      <w:r w:rsidRPr="00591E38">
        <w:rPr>
          <w:color w:val="00B050"/>
        </w:rPr>
        <w:t>36825352</w:t>
      </w:r>
    </w:p>
    <w:p w14:paraId="155BC493" w14:textId="77777777" w:rsidR="00D72F2F" w:rsidRDefault="00D72F2F" w:rsidP="00D72F2F">
      <w:pPr>
        <w:ind w:left="1080"/>
        <w:rPr>
          <w:color w:val="00B050"/>
        </w:rPr>
      </w:pPr>
      <w:proofErr w:type="spellStart"/>
      <w:r w:rsidRPr="00857EAA">
        <w:rPr>
          <w:color w:val="00B0F0"/>
        </w:rPr>
        <w:t>copy_to_runs</w:t>
      </w:r>
      <w:proofErr w:type="spellEnd"/>
      <w:r w:rsidRPr="00857EAA">
        <w:rPr>
          <w:color w:val="00B0F0"/>
        </w:rPr>
        <w:t xml:space="preserve"> </w:t>
      </w:r>
      <w:r>
        <w:rPr>
          <w:color w:val="00B050"/>
        </w:rPr>
        <w:t>36837310</w:t>
      </w:r>
    </w:p>
    <w:p w14:paraId="7C9105F4" w14:textId="77777777" w:rsidR="00D72F2F" w:rsidRPr="00857EAA" w:rsidRDefault="00D72F2F" w:rsidP="00D72F2F">
      <w:pPr>
        <w:ind w:left="1080"/>
        <w:rPr>
          <w:color w:val="00B050"/>
        </w:rPr>
      </w:pPr>
      <w:proofErr w:type="spellStart"/>
      <w:r w:rsidRPr="00857EAA">
        <w:rPr>
          <w:color w:val="00B0F0"/>
        </w:rPr>
        <w:t>copy_to_runs</w:t>
      </w:r>
      <w:proofErr w:type="spellEnd"/>
      <w:r w:rsidRPr="00857EAA">
        <w:rPr>
          <w:color w:val="00B0F0"/>
        </w:rPr>
        <w:t xml:space="preserve"> </w:t>
      </w:r>
      <w:r>
        <w:rPr>
          <w:color w:val="00B050"/>
        </w:rPr>
        <w:t>36837314</w:t>
      </w:r>
    </w:p>
    <w:p w14:paraId="629E5793" w14:textId="77777777" w:rsidR="00D72F2F" w:rsidRPr="00591E38" w:rsidRDefault="00D72F2F" w:rsidP="00D72F2F">
      <w:pPr>
        <w:ind w:left="1080"/>
        <w:rPr>
          <w:color w:val="00B0F0"/>
        </w:rPr>
      </w:pPr>
      <w:proofErr w:type="spellStart"/>
      <w:r w:rsidRPr="00857EAA">
        <w:rPr>
          <w:color w:val="00B0F0"/>
        </w:rPr>
        <w:t>copy_to_runs</w:t>
      </w:r>
      <w:proofErr w:type="spellEnd"/>
      <w:r w:rsidRPr="00857EAA">
        <w:rPr>
          <w:color w:val="00B0F0"/>
        </w:rPr>
        <w:t xml:space="preserve"> </w:t>
      </w:r>
      <w:r>
        <w:rPr>
          <w:color w:val="00B050"/>
        </w:rPr>
        <w:t>36837322</w:t>
      </w:r>
    </w:p>
    <w:p w14:paraId="6F929F01" w14:textId="77777777" w:rsidR="00D72F2F" w:rsidRPr="00857EAA" w:rsidRDefault="00D72F2F" w:rsidP="00D72F2F">
      <w:pPr>
        <w:ind w:left="1080"/>
        <w:rPr>
          <w:color w:val="000000" w:themeColor="text1"/>
        </w:rPr>
      </w:pPr>
      <w:proofErr w:type="spellStart"/>
      <w:r w:rsidRPr="00857EAA">
        <w:rPr>
          <w:color w:val="00B0F0"/>
        </w:rPr>
        <w:t>toruns</w:t>
      </w:r>
      <w:proofErr w:type="spellEnd"/>
      <w:r>
        <w:rPr>
          <w:color w:val="00B0F0"/>
        </w:rPr>
        <w:t xml:space="preserve">   </w:t>
      </w:r>
      <w:r>
        <w:rPr>
          <w:color w:val="000000" w:themeColor="text1"/>
        </w:rPr>
        <w:t xml:space="preserve">&lt;-- the last command leaves us in directory … ascot/ascot_work_36837322 </w:t>
      </w:r>
    </w:p>
    <w:p w14:paraId="66EAEC30" w14:textId="77777777" w:rsidR="00D72F2F" w:rsidRPr="00591E38" w:rsidRDefault="00D72F2F" w:rsidP="00D72F2F">
      <w:pPr>
        <w:ind w:left="720" w:firstLine="360"/>
        <w:rPr>
          <w:color w:val="000000" w:themeColor="text1"/>
        </w:rPr>
      </w:pPr>
      <w:r w:rsidRPr="00591E38">
        <w:rPr>
          <w:color w:val="000000" w:themeColor="text1"/>
        </w:rPr>
        <w:t>Now run the home-grown ASCOT postprocessor process-ascot.py</w:t>
      </w:r>
    </w:p>
    <w:p w14:paraId="5D73CCF8" w14:textId="77777777" w:rsidR="00D72F2F" w:rsidRPr="00591E38" w:rsidRDefault="00D72F2F" w:rsidP="00D72F2F">
      <w:pPr>
        <w:ind w:left="1080" w:right="-360"/>
        <w:rPr>
          <w:color w:val="000000" w:themeColor="text1"/>
        </w:rPr>
      </w:pPr>
      <w:r w:rsidRPr="00060EF3">
        <w:rPr>
          <w:color w:val="00B050"/>
        </w:rPr>
        <w:t>python</w:t>
      </w:r>
      <w:r>
        <w:rPr>
          <w:color w:val="00B050"/>
        </w:rPr>
        <w:t xml:space="preserve"> </w:t>
      </w:r>
      <w:r w:rsidRPr="0017161D">
        <w:rPr>
          <w:color w:val="00B0F0"/>
        </w:rPr>
        <w:t>$dir_mypython</w:t>
      </w:r>
      <w:r w:rsidRPr="00060EF3">
        <w:rPr>
          <w:color w:val="00B050"/>
        </w:rPr>
        <w:t>/process_ascot.py</w:t>
      </w:r>
      <w:r>
        <w:rPr>
          <w:color w:val="00B050"/>
        </w:rPr>
        <w:tab/>
      </w:r>
      <w:r w:rsidRPr="00591E38">
        <w:rPr>
          <w:color w:val="000000" w:themeColor="text1"/>
        </w:rPr>
        <w:sym w:font="Wingdings" w:char="F0DF"/>
      </w:r>
      <w:r w:rsidRPr="00591E38">
        <w:rPr>
          <w:color w:val="000000" w:themeColor="text1"/>
        </w:rPr>
        <w:t xml:space="preserve"> launches the Python script</w:t>
      </w:r>
    </w:p>
    <w:p w14:paraId="3E8B36A3" w14:textId="77777777" w:rsidR="00D72F2F" w:rsidRPr="00591E38" w:rsidRDefault="00D72F2F" w:rsidP="00D72F2F">
      <w:pPr>
        <w:ind w:left="1080"/>
        <w:rPr>
          <w:b/>
          <w:color w:val="00B050"/>
        </w:rPr>
      </w:pPr>
      <w:r w:rsidRPr="00D45F41">
        <w:t xml:space="preserve">enter comma-separated list (w/o spaces) of ascot output .h5 </w:t>
      </w:r>
      <w:proofErr w:type="gramStart"/>
      <w:r w:rsidRPr="00D45F41">
        <w:t>files( default</w:t>
      </w:r>
      <w:proofErr w:type="gramEnd"/>
      <w:r w:rsidRPr="00D45F41">
        <w:t xml:space="preserve">=)   </w:t>
      </w:r>
      <w:r w:rsidRPr="00591E38">
        <w:rPr>
          <w:b/>
          <w:color w:val="00B050"/>
        </w:rPr>
        <w:t>ascot_36825352.h5,ascot_36837310.h5,ascot_36837314.h5,ascot_36837422.h5</w:t>
      </w:r>
    </w:p>
    <w:p w14:paraId="7DBBDE4F" w14:textId="77777777" w:rsidR="00D72F2F" w:rsidRPr="00D45F41" w:rsidRDefault="00D72F2F" w:rsidP="00D72F2F">
      <w:pPr>
        <w:ind w:left="1080"/>
      </w:pPr>
      <w:r w:rsidRPr="00D45F41">
        <w:t xml:space="preserve">enter name of </w:t>
      </w:r>
      <w:proofErr w:type="spellStart"/>
      <w:r w:rsidRPr="00D45F41">
        <w:t>geq</w:t>
      </w:r>
      <w:proofErr w:type="spellEnd"/>
      <w:r w:rsidRPr="00D45F41">
        <w:t xml:space="preserve"> </w:t>
      </w:r>
      <w:proofErr w:type="gramStart"/>
      <w:r w:rsidRPr="00D45F41">
        <w:t>file( default</w:t>
      </w:r>
      <w:proofErr w:type="gramEnd"/>
      <w:r w:rsidRPr="00D45F41">
        <w:t xml:space="preserve">=v1e.geq) </w:t>
      </w:r>
      <w:r>
        <w:t xml:space="preserve">   </w:t>
      </w:r>
      <w:r w:rsidRPr="00591E38">
        <w:rPr>
          <w:b/>
          <w:color w:val="00B050"/>
        </w:rPr>
        <w:t>&lt;</w:t>
      </w:r>
      <w:proofErr w:type="spellStart"/>
      <w:r w:rsidRPr="00591E38">
        <w:rPr>
          <w:b/>
          <w:color w:val="00B050"/>
        </w:rPr>
        <w:t>cr</w:t>
      </w:r>
      <w:proofErr w:type="spellEnd"/>
      <w:r w:rsidRPr="00591E38">
        <w:rPr>
          <w:b/>
          <w:color w:val="00B050"/>
        </w:rPr>
        <w:t>&gt;</w:t>
      </w:r>
      <w:r w:rsidRPr="00D45F41">
        <w:rPr>
          <w:color w:val="00B050"/>
        </w:rPr>
        <w:t xml:space="preserve">    </w:t>
      </w:r>
      <w:r>
        <w:sym w:font="Wingdings" w:char="F0DF"/>
      </w:r>
      <w:r>
        <w:t xml:space="preserve"> a &lt;</w:t>
      </w:r>
      <w:proofErr w:type="spellStart"/>
      <w:r>
        <w:t>cr</w:t>
      </w:r>
      <w:proofErr w:type="spellEnd"/>
      <w:r>
        <w:t>&gt; accepts default value</w:t>
      </w:r>
      <w:r w:rsidRPr="00D45F41">
        <w:t xml:space="preserve">  </w:t>
      </w:r>
    </w:p>
    <w:p w14:paraId="2B4C6766" w14:textId="77777777" w:rsidR="00D72F2F" w:rsidRPr="00D45F41" w:rsidRDefault="00D72F2F" w:rsidP="00D72F2F">
      <w:pPr>
        <w:ind w:left="1080"/>
      </w:pPr>
      <w:r w:rsidRPr="00D45F41">
        <w:t xml:space="preserve">enter profiles </w:t>
      </w:r>
      <w:proofErr w:type="gramStart"/>
      <w:r w:rsidRPr="00D45F41">
        <w:t>filename( default</w:t>
      </w:r>
      <w:proofErr w:type="gramEnd"/>
      <w:r w:rsidRPr="00D45F41">
        <w:t xml:space="preserve">=v1e_profiles_3.txt)  </w:t>
      </w:r>
      <w:r w:rsidRPr="00591E38">
        <w:rPr>
          <w:b/>
          <w:color w:val="00B050"/>
        </w:rPr>
        <w:t>&lt;</w:t>
      </w:r>
      <w:proofErr w:type="spellStart"/>
      <w:r w:rsidRPr="00591E38">
        <w:rPr>
          <w:b/>
          <w:color w:val="00B050"/>
        </w:rPr>
        <w:t>cr</w:t>
      </w:r>
      <w:proofErr w:type="spellEnd"/>
      <w:r w:rsidRPr="00591E38">
        <w:rPr>
          <w:b/>
          <w:color w:val="00B050"/>
        </w:rPr>
        <w:t>&gt;</w:t>
      </w:r>
      <w:r w:rsidRPr="00D45F41">
        <w:rPr>
          <w:color w:val="00B050"/>
        </w:rPr>
        <w:t xml:space="preserve"> </w:t>
      </w:r>
    </w:p>
    <w:p w14:paraId="2D2780B5" w14:textId="77777777" w:rsidR="00D72F2F" w:rsidRPr="00060EF3" w:rsidRDefault="00D72F2F" w:rsidP="00D72F2F">
      <w:pPr>
        <w:ind w:left="1080"/>
        <w:rPr>
          <w:color w:val="00B050"/>
        </w:rPr>
      </w:pPr>
      <w:r w:rsidRPr="00D45F41">
        <w:t xml:space="preserve"> enter kW of lost </w:t>
      </w:r>
      <w:proofErr w:type="gramStart"/>
      <w:r w:rsidRPr="00D45F41">
        <w:t>alphas( default</w:t>
      </w:r>
      <w:proofErr w:type="gramEnd"/>
      <w:r w:rsidRPr="00D45F41">
        <w:t xml:space="preserve">=0.0)   </w:t>
      </w:r>
      <w:r w:rsidRPr="00591E38">
        <w:rPr>
          <w:b/>
          <w:color w:val="00B050"/>
        </w:rPr>
        <w:t>480.</w:t>
      </w:r>
    </w:p>
    <w:p w14:paraId="5F81729F" w14:textId="77777777" w:rsidR="00D72F2F" w:rsidRPr="00591E38" w:rsidRDefault="00D72F2F" w:rsidP="00D72F2F">
      <w:pPr>
        <w:ind w:left="1080"/>
        <w:rPr>
          <w:b/>
          <w:color w:val="00B050"/>
        </w:rPr>
      </w:pPr>
      <w:r w:rsidRPr="00D45F41">
        <w:t xml:space="preserve">enter integer that specifies grid resolution for </w:t>
      </w:r>
      <w:proofErr w:type="spellStart"/>
      <w:r w:rsidRPr="00D45F41">
        <w:t>spd</w:t>
      </w:r>
      <w:proofErr w:type="spellEnd"/>
      <w:r w:rsidRPr="00D45F41">
        <w:t xml:space="preserve"> </w:t>
      </w:r>
      <w:proofErr w:type="gramStart"/>
      <w:r w:rsidRPr="00D45F41">
        <w:t>calc( default</w:t>
      </w:r>
      <w:proofErr w:type="gramEnd"/>
      <w:r w:rsidRPr="00D45F41">
        <w:t xml:space="preserve">=0)   </w:t>
      </w:r>
      <w:r w:rsidRPr="00591E38">
        <w:rPr>
          <w:b/>
          <w:color w:val="00B050"/>
        </w:rPr>
        <w:t>6</w:t>
      </w:r>
    </w:p>
    <w:p w14:paraId="041739EC" w14:textId="77777777" w:rsidR="00D72F2F" w:rsidRDefault="00D72F2F" w:rsidP="00D72F2F">
      <w:pPr>
        <w:ind w:left="1080"/>
        <w:rPr>
          <w:color w:val="00B050"/>
        </w:rPr>
      </w:pPr>
      <w:r w:rsidRPr="00D45F41">
        <w:t xml:space="preserve">enter stub for </w:t>
      </w:r>
      <w:proofErr w:type="spellStart"/>
      <w:r w:rsidRPr="00D45F41">
        <w:t>outout</w:t>
      </w:r>
      <w:proofErr w:type="spellEnd"/>
      <w:r w:rsidRPr="00D45F41">
        <w:t xml:space="preserve"> filename (none for </w:t>
      </w:r>
      <w:proofErr w:type="spellStart"/>
      <w:r w:rsidRPr="00D45F41">
        <w:t>outout</w:t>
      </w:r>
      <w:proofErr w:type="spellEnd"/>
      <w:r w:rsidRPr="00D45F41">
        <w:t xml:space="preserve"> to </w:t>
      </w:r>
      <w:proofErr w:type="gramStart"/>
      <w:r w:rsidRPr="00D45F41">
        <w:t>screen)(</w:t>
      </w:r>
      <w:proofErr w:type="gramEnd"/>
      <w:r w:rsidRPr="00D45F41">
        <w:t xml:space="preserve"> default=)      </w:t>
      </w:r>
    </w:p>
    <w:p w14:paraId="0A15C564" w14:textId="77777777" w:rsidR="00D72F2F" w:rsidRDefault="00D72F2F" w:rsidP="00D72F2F">
      <w:pPr>
        <w:ind w:left="1080"/>
      </w:pPr>
      <w:r w:rsidRPr="00591E38">
        <w:rPr>
          <w:b/>
          <w:color w:val="00B050"/>
        </w:rPr>
        <w:t>ascot_</w:t>
      </w:r>
      <w:r>
        <w:rPr>
          <w:b/>
          <w:color w:val="00B050"/>
        </w:rPr>
        <w:t>AR_</w:t>
      </w:r>
      <w:r w:rsidRPr="00591E38">
        <w:rPr>
          <w:b/>
          <w:color w:val="00B050"/>
        </w:rPr>
        <w:t>pshape7_ashape6</w:t>
      </w:r>
      <w:r>
        <w:rPr>
          <w:color w:val="00B050"/>
        </w:rPr>
        <w:t xml:space="preserve">    </w:t>
      </w:r>
      <w:r w:rsidRPr="00D45F41">
        <w:sym w:font="Wingdings" w:char="F0DF"/>
      </w:r>
      <w:r w:rsidRPr="00D45F41">
        <w:t xml:space="preserve"> note that the “stub” does not include e.g.  .txt</w:t>
      </w:r>
    </w:p>
    <w:p w14:paraId="004238B7" w14:textId="77777777" w:rsidR="00D72F2F" w:rsidRPr="00591E38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… the code will take a minute to several minutes to </w:t>
      </w:r>
      <w:proofErr w:type="gramStart"/>
      <w:r>
        <w:rPr>
          <w:color w:val="000000" w:themeColor="text1"/>
        </w:rPr>
        <w:t>process,  depending</w:t>
      </w:r>
      <w:proofErr w:type="gramEnd"/>
      <w:r>
        <w:rPr>
          <w:color w:val="000000" w:themeColor="text1"/>
        </w:rPr>
        <w:t xml:space="preserve"> on the number of files and the total number of markers that are being processed</w:t>
      </w:r>
    </w:p>
    <w:p w14:paraId="07867E7B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Note that you supply a list of one or more ASCOT output files, in single quotes, </w:t>
      </w:r>
      <w:r w:rsidRPr="007B760D">
        <w:rPr>
          <w:b/>
          <w:color w:val="000000" w:themeColor="text1"/>
        </w:rPr>
        <w:t>without any spaces between the filenames</w:t>
      </w:r>
      <w:r>
        <w:rPr>
          <w:color w:val="000000" w:themeColor="text1"/>
        </w:rPr>
        <w:t xml:space="preserve">.  The processor will then combine the outputs of the two files before computing 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the fraction of lost alpha power.  This allows us to break a big calculation of say 100,000 alphas into more manageable runs of 20,000 alphas each.</w:t>
      </w:r>
    </w:p>
    <w:p w14:paraId="4DAED86D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>The second argument (v1e.geq’) is the EFIT equilibrium for the run.</w:t>
      </w:r>
    </w:p>
    <w:p w14:paraId="47B1A81A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The parameter “kW of lost alphas” is the number of kilowatts of alpha power that hits the wall.  One would think that this would be an </w:t>
      </w:r>
      <w:proofErr w:type="spellStart"/>
      <w:r>
        <w:rPr>
          <w:color w:val="000000" w:themeColor="text1"/>
        </w:rPr>
        <w:t>ouput</w:t>
      </w:r>
      <w:proofErr w:type="spellEnd"/>
      <w:r>
        <w:rPr>
          <w:color w:val="000000" w:themeColor="text1"/>
        </w:rPr>
        <w:t xml:space="preserve"> parameter rather than an input parameter, but for reasons discussed in the section on parent/daughter runs, this is not the case.</w:t>
      </w:r>
    </w:p>
    <w:p w14:paraId="058AC830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The “integer that specified grid resolution for the </w:t>
      </w:r>
      <w:proofErr w:type="spellStart"/>
      <w:r>
        <w:rPr>
          <w:color w:val="000000" w:themeColor="text1"/>
        </w:rPr>
        <w:t>spd</w:t>
      </w:r>
      <w:proofErr w:type="spellEnd"/>
      <w:r>
        <w:rPr>
          <w:color w:val="000000" w:themeColor="text1"/>
        </w:rPr>
        <w:t xml:space="preserve"> calc” controls the grid size for the poloidal limiters, toroidal belt limiters, RF antennas etc.  As shown in the code snippet below the </w:t>
      </w:r>
      <w:proofErr w:type="gramStart"/>
      <w:r>
        <w:rPr>
          <w:color w:val="000000" w:themeColor="text1"/>
        </w:rPr>
        <w:t>integer  (</w:t>
      </w:r>
      <w:proofErr w:type="gramEnd"/>
      <w:r>
        <w:rPr>
          <w:color w:val="000000" w:themeColor="text1"/>
        </w:rPr>
        <w:t xml:space="preserve">called </w:t>
      </w:r>
      <w:proofErr w:type="spellStart"/>
      <w:r>
        <w:rPr>
          <w:color w:val="000000" w:themeColor="text1"/>
        </w:rPr>
        <w:t>ishape</w:t>
      </w:r>
      <w:proofErr w:type="spellEnd"/>
      <w:r>
        <w:rPr>
          <w:color w:val="000000" w:themeColor="text1"/>
        </w:rPr>
        <w:t xml:space="preserve"> internally in the </w:t>
      </w:r>
      <w:proofErr w:type="spellStart"/>
      <w:r>
        <w:rPr>
          <w:color w:val="000000" w:themeColor="text1"/>
        </w:rPr>
        <w:t>construct_torus</w:t>
      </w:r>
      <w:proofErr w:type="spellEnd"/>
      <w:r>
        <w:rPr>
          <w:color w:val="000000" w:themeColor="text1"/>
        </w:rPr>
        <w:t xml:space="preserve"> function within process_ascot.py) is used as an index to select say the number of grid points in the phi direction, </w:t>
      </w:r>
      <w:proofErr w:type="spellStart"/>
      <w:r>
        <w:rPr>
          <w:color w:val="000000" w:themeColor="text1"/>
        </w:rPr>
        <w:t>nphi_limiter</w:t>
      </w:r>
      <w:proofErr w:type="spellEnd"/>
      <w:r>
        <w:rPr>
          <w:color w:val="000000" w:themeColor="text1"/>
        </w:rPr>
        <w:t xml:space="preserve">, and the number of grid points in the Z direction, </w:t>
      </w:r>
      <w:proofErr w:type="spellStart"/>
      <w:r>
        <w:rPr>
          <w:color w:val="000000" w:themeColor="text1"/>
        </w:rPr>
        <w:t>nz_limiter</w:t>
      </w:r>
      <w:proofErr w:type="spellEnd"/>
      <w:r>
        <w:rPr>
          <w:color w:val="000000" w:themeColor="text1"/>
        </w:rPr>
        <w:t xml:space="preserve">.  There are similar arrays for the toroidal belt limiter, the RF antennas, and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the other structures that comprise the plasma-facing wall. </w:t>
      </w:r>
    </w:p>
    <w:p w14:paraId="382E8BA4" w14:textId="77777777" w:rsidR="00D72F2F" w:rsidRPr="00A815BB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# </w:t>
      </w:r>
      <w:proofErr w:type="spellStart"/>
      <w:r w:rsidRPr="00A815BB">
        <w:rPr>
          <w:color w:val="000000" w:themeColor="text1"/>
        </w:rPr>
        <w:t>ishape</w:t>
      </w:r>
      <w:proofErr w:type="spellEnd"/>
      <w:r w:rsidRPr="00A815BB">
        <w:rPr>
          <w:color w:val="000000" w:themeColor="text1"/>
        </w:rPr>
        <w:t xml:space="preserve">          1    2    3   4   </w:t>
      </w:r>
      <w:proofErr w:type="gramStart"/>
      <w:r w:rsidRPr="00A815BB">
        <w:rPr>
          <w:color w:val="000000" w:themeColor="text1"/>
        </w:rPr>
        <w:t>5  6</w:t>
      </w:r>
      <w:proofErr w:type="gramEnd"/>
      <w:r w:rsidRPr="00A815BB">
        <w:rPr>
          <w:color w:val="000000" w:themeColor="text1"/>
        </w:rPr>
        <w:t xml:space="preserve">    7   8</w:t>
      </w:r>
    </w:p>
    <w:p w14:paraId="6CAFE0E0" w14:textId="77777777" w:rsidR="00D72F2F" w:rsidRPr="00A815BB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  </w:t>
      </w:r>
    </w:p>
    <w:p w14:paraId="3252EA76" w14:textId="77777777" w:rsidR="00D72F2F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</w:t>
      </w:r>
      <w:proofErr w:type="spellStart"/>
      <w:r w:rsidRPr="00A815BB">
        <w:rPr>
          <w:color w:val="000000" w:themeColor="text1"/>
        </w:rPr>
        <w:t>nnphi_</w:t>
      </w:r>
      <w:proofErr w:type="gramStart"/>
      <w:r w:rsidRPr="00A815BB">
        <w:rPr>
          <w:color w:val="000000" w:themeColor="text1"/>
        </w:rPr>
        <w:t>limiter</w:t>
      </w:r>
      <w:proofErr w:type="spellEnd"/>
      <w:r w:rsidRPr="00A815BB">
        <w:rPr>
          <w:color w:val="000000" w:themeColor="text1"/>
        </w:rPr>
        <w:t xml:space="preserve">  =</w:t>
      </w:r>
      <w:proofErr w:type="gramEnd"/>
      <w:r w:rsidRPr="00A815BB">
        <w:rPr>
          <w:color w:val="000000" w:themeColor="text1"/>
        </w:rPr>
        <w:t xml:space="preserve"> [5,   5,  20, 10,  5, 5,   4,  5] </w:t>
      </w:r>
      <w:r>
        <w:rPr>
          <w:color w:val="000000" w:themeColor="text1"/>
        </w:rPr>
        <w:t xml:space="preserve">    </w:t>
      </w:r>
      <w:r w:rsidRPr="00A815BB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these are hard-wired sets of</w:t>
      </w:r>
    </w:p>
    <w:p w14:paraId="31F978B9" w14:textId="77777777" w:rsidR="00D72F2F" w:rsidRPr="00A815BB" w:rsidRDefault="00D72F2F" w:rsidP="00D72F2F">
      <w:pPr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available grid resolutions. </w:t>
      </w:r>
    </w:p>
    <w:p w14:paraId="4A993277" w14:textId="77777777" w:rsidR="00D72F2F" w:rsidRPr="00A815BB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</w:t>
      </w:r>
      <w:proofErr w:type="spellStart"/>
      <w:r w:rsidRPr="00A815BB">
        <w:rPr>
          <w:color w:val="000000" w:themeColor="text1"/>
        </w:rPr>
        <w:t>nnz_limiter</w:t>
      </w:r>
      <w:proofErr w:type="spellEnd"/>
      <w:r w:rsidRPr="00A815BB">
        <w:rPr>
          <w:color w:val="000000" w:themeColor="text1"/>
        </w:rPr>
        <w:t xml:space="preserve">    = [</w:t>
      </w:r>
      <w:proofErr w:type="gramStart"/>
      <w:r w:rsidRPr="00A815BB">
        <w:rPr>
          <w:color w:val="000000" w:themeColor="text1"/>
        </w:rPr>
        <w:t xml:space="preserve">6,   </w:t>
      </w:r>
      <w:proofErr w:type="gramEnd"/>
      <w:r w:rsidRPr="00A815BB">
        <w:rPr>
          <w:color w:val="000000" w:themeColor="text1"/>
        </w:rPr>
        <w:t>6,  20, 10,  6, 10, 10, 15]</w:t>
      </w:r>
    </w:p>
    <w:p w14:paraId="7231D03A" w14:textId="77777777" w:rsidR="00D72F2F" w:rsidRPr="00A815BB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</w:t>
      </w:r>
    </w:p>
    <w:p w14:paraId="7C0E2878" w14:textId="77777777" w:rsidR="00D72F2F" w:rsidRDefault="00D72F2F" w:rsidP="00D72F2F">
      <w:pPr>
        <w:spacing w:after="0"/>
        <w:ind w:left="1440"/>
        <w:rPr>
          <w:color w:val="000000" w:themeColor="text1"/>
        </w:rPr>
      </w:pPr>
      <w:r w:rsidRPr="00A815BB">
        <w:rPr>
          <w:color w:val="000000" w:themeColor="text1"/>
        </w:rPr>
        <w:t xml:space="preserve">    </w:t>
      </w:r>
      <w:proofErr w:type="spellStart"/>
      <w:r w:rsidRPr="00A815BB">
        <w:rPr>
          <w:color w:val="000000" w:themeColor="text1"/>
        </w:rPr>
        <w:t>nphi_limiter</w:t>
      </w:r>
      <w:proofErr w:type="spellEnd"/>
      <w:r w:rsidRPr="00A815BB">
        <w:rPr>
          <w:color w:val="000000" w:themeColor="text1"/>
        </w:rPr>
        <w:t xml:space="preserve">   = </w:t>
      </w:r>
      <w:proofErr w:type="spellStart"/>
      <w:r w:rsidRPr="00A815BB">
        <w:rPr>
          <w:color w:val="000000" w:themeColor="text1"/>
        </w:rPr>
        <w:t>nnphi_limiter</w:t>
      </w:r>
      <w:proofErr w:type="spellEnd"/>
      <w:r w:rsidRPr="00A815BB">
        <w:rPr>
          <w:color w:val="000000" w:themeColor="text1"/>
        </w:rPr>
        <w:t>[ishape-1]</w:t>
      </w:r>
      <w:r>
        <w:rPr>
          <w:color w:val="000000" w:themeColor="text1"/>
        </w:rPr>
        <w:tab/>
      </w:r>
      <w:r w:rsidRPr="00A815BB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this selects one value from the set</w:t>
      </w:r>
    </w:p>
    <w:p w14:paraId="463376E9" w14:textId="77777777" w:rsidR="00D72F2F" w:rsidRDefault="00D72F2F" w:rsidP="00D72F2F">
      <w:pPr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nz_limiter</w:t>
      </w:r>
      <w:proofErr w:type="spellEnd"/>
      <w:r>
        <w:rPr>
          <w:color w:val="000000" w:themeColor="text1"/>
        </w:rPr>
        <w:t xml:space="preserve">       = </w:t>
      </w:r>
      <w:proofErr w:type="spellStart"/>
      <w:r>
        <w:rPr>
          <w:color w:val="000000" w:themeColor="text1"/>
        </w:rPr>
        <w:t>nnz_limiter</w:t>
      </w:r>
      <w:proofErr w:type="spellEnd"/>
      <w:r>
        <w:rPr>
          <w:color w:val="000000" w:themeColor="text1"/>
        </w:rPr>
        <w:t>[ishape-1]</w:t>
      </w:r>
    </w:p>
    <w:p w14:paraId="3F65911A" w14:textId="77777777" w:rsidR="00D72F2F" w:rsidRDefault="00D72F2F" w:rsidP="00D72F2F">
      <w:pPr>
        <w:ind w:left="1080"/>
        <w:rPr>
          <w:color w:val="000000" w:themeColor="text1"/>
        </w:rPr>
      </w:pPr>
    </w:p>
    <w:p w14:paraId="367C5EB9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Output:  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ascot_pshape7_ashape6.txt and ascot_pshape7 </w:t>
      </w:r>
      <w:r w:rsidRPr="00D45F41">
        <w:rPr>
          <w:color w:val="FF0000"/>
        </w:rPr>
        <w:t>need to finish this</w:t>
      </w:r>
    </w:p>
    <w:p w14:paraId="5C4AB599" w14:textId="77777777" w:rsidR="00D72F2F" w:rsidRDefault="00D72F2F" w:rsidP="00D72F2F">
      <w:pPr>
        <w:ind w:left="1080"/>
        <w:rPr>
          <w:b/>
          <w:color w:val="FF0000"/>
        </w:rPr>
      </w:pPr>
      <w:r>
        <w:rPr>
          <w:color w:val="000000" w:themeColor="text1"/>
        </w:rPr>
        <w:t xml:space="preserve">Both the text file and the plot file have accumulated a lot of </w:t>
      </w:r>
      <w:proofErr w:type="gramStart"/>
      <w:r>
        <w:rPr>
          <w:color w:val="000000" w:themeColor="text1"/>
        </w:rPr>
        <w:t>bloat</w:t>
      </w:r>
      <w:proofErr w:type="gramEnd"/>
      <w:r>
        <w:rPr>
          <w:color w:val="000000" w:themeColor="text1"/>
        </w:rPr>
        <w:t xml:space="preserve"> over the past months, mostly to debug particular problems.   The plot file </w:t>
      </w:r>
      <w:proofErr w:type="gramStart"/>
      <w:r>
        <w:rPr>
          <w:color w:val="000000" w:themeColor="text1"/>
        </w:rPr>
        <w:t>in particular is</w:t>
      </w:r>
      <w:proofErr w:type="gramEnd"/>
      <w:r>
        <w:rPr>
          <w:color w:val="000000" w:themeColor="text1"/>
        </w:rPr>
        <w:t xml:space="preserve"> big – about 200 pages of plots.  </w:t>
      </w:r>
    </w:p>
    <w:p w14:paraId="392598FB" w14:textId="77777777" w:rsidR="00D72F2F" w:rsidRDefault="00D72F2F" w:rsidP="00D72F2F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Sample output is given in file </w:t>
      </w:r>
      <w:hyperlink r:id="rId4" w:history="1">
        <w:r w:rsidRPr="0083522D">
          <w:rPr>
            <w:rStyle w:val="Hyperlink"/>
          </w:rPr>
          <w:t>ascot_33081964_multi.pdf</w:t>
        </w:r>
      </w:hyperlink>
      <w:r>
        <w:rPr>
          <w:color w:val="000000" w:themeColor="text1"/>
        </w:rPr>
        <w:t xml:space="preserve"> and annotations for these plots are given in </w:t>
      </w:r>
      <w:hyperlink r:id="rId5" w:history="1">
        <w:r w:rsidRPr="0083522D">
          <w:rPr>
            <w:rStyle w:val="Hyperlink"/>
          </w:rPr>
          <w:t>annotations_for_figures.docx</w:t>
        </w:r>
      </w:hyperlink>
      <w:r>
        <w:rPr>
          <w:color w:val="000000" w:themeColor="text1"/>
        </w:rPr>
        <w:t>.</w:t>
      </w:r>
    </w:p>
    <w:p w14:paraId="058D4C98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2F"/>
    <w:rsid w:val="003F26F8"/>
    <w:rsid w:val="003F6F12"/>
    <w:rsid w:val="006302AD"/>
    <w:rsid w:val="00635342"/>
    <w:rsid w:val="0071249D"/>
    <w:rsid w:val="00872B0B"/>
    <w:rsid w:val="00D72F2F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D465"/>
  <w15:chartTrackingRefBased/>
  <w15:docId w15:val="{017C7EC0-ED31-413C-B0FB-C218766A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sscott\Documents\ripple\ASCOT_handover\annotations_for_figures.docx" TargetMode="External"/><Relationship Id="rId4" Type="http://schemas.openxmlformats.org/officeDocument/2006/relationships/hyperlink" Target="file:///C:\Users\sscott\Documents\ripple\ASCOT_handover\ascot_33081964_mult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3196</Characters>
  <Application>Microsoft Office Word</Application>
  <DocSecurity>0</DocSecurity>
  <Lines>26</Lines>
  <Paragraphs>7</Paragraphs>
  <ScaleCrop>false</ScaleCrop>
  <Company>Commonwealth Fusion Systems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2023-01-08T17:35:00Z</dcterms:created>
  <dcterms:modified xsi:type="dcterms:W3CDTF">2023-01-08T17:36:00Z</dcterms:modified>
</cp:coreProperties>
</file>