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0" w:after="80"/>
        <w:jc w:val="center"/>
      </w:pPr>
      <w:r>
        <w:rPr>
          <w:rFonts w:ascii="Arial" w:cs="Arial" w:eastAsia="Arial" w:hAnsi="Arial"/>
          <w:b/>
          <w:bCs/>
          <w:color w:val="FFFFFF"/>
          <w:sz w:val="44"/>
          <w:szCs w:val="44"/>
          <w:shd w:fill="0D1B2A"/>
        </w:rPr>
        <w:t xml:space="preserve">SUPER RESERVATION PLATFORM</w:t>
      </w:r>
    </w:p>
    <w:p>
      <w:pPr>
        <w:pBdr>
          <w:bottom w:val="single" w:color="0E8FA0" w:sz="6" w:space="10"/>
        </w:pBdr>
        <w:spacing w:before="0" w:after="60"/>
        <w:jc w:val="center"/>
      </w:pPr>
      <w:r>
        <w:rPr>
          <w:rFonts w:ascii="Arial" w:cs="Arial" w:eastAsia="Arial" w:hAnsi="Arial"/>
          <w:color w:val="0D1B2A"/>
          <w:sz w:val="8"/>
          <w:szCs w:val="8"/>
        </w:rPr>
        <w:t xml:space="preserve"/>
      </w:r>
    </w:p>
    <w:p>
      <w:pPr>
        <w:spacing w:before="120" w:after="60"/>
        <w:jc w:val="center"/>
      </w:pPr>
      <w:r>
        <w:rPr>
          <w:rFonts w:ascii="Arial" w:cs="Arial" w:eastAsia="Arial" w:hAnsi="Arial"/>
          <w:b/>
          <w:bCs/>
          <w:color w:val="0E8FA0"/>
          <w:sz w:val="32"/>
          <w:szCs w:val="32"/>
        </w:rPr>
        <w:t xml:space="preserve">Competitive Analysis &amp; Feature Benchmarking</w:t>
      </w:r>
    </w:p>
    <w:p>
      <w:pPr>
        <w:spacing w:before="60" w:after="80"/>
        <w:jc w:val="center"/>
      </w:pPr>
      <w:r>
        <w:rPr>
          <w:rFonts w:ascii="Arial" w:cs="Arial" w:eastAsia="Arial" w:hAnsi="Arial"/>
          <w:i/>
          <w:iCs/>
          <w:color w:val="717D7E"/>
          <w:sz w:val="24"/>
          <w:szCs w:val="24"/>
        </w:rPr>
        <w:t xml:space="preserve">MENA · Gulf · Egypt Market</w:t>
      </w:r>
    </w:p>
    <w:p>
      <w:pPr>
        <w:spacing w:before="1200" w:after="60"/>
        <w:jc w:val="center"/>
      </w:pPr>
      <w:r>
        <w:rPr>
          <w:rFonts w:ascii="Arial" w:cs="Arial" w:eastAsia="Arial" w:hAnsi="Arial"/>
          <w:color w:val="717D7E"/>
          <w:sz w:val="20"/>
          <w:szCs w:val="20"/>
        </w:rPr>
        <w:t xml:space="preserve">March 2026  |  Confidential</w:t>
      </w:r>
    </w:p>
    <w:p>
      <w:r>
        <w:br w:type="page"/>
      </w:r>
    </w:p>
    <w:p>
      <w:pPr>
        <w:sectPr>
          <w:pgSz w:w="12240" w:h="15840" w:orient="portrait"/>
          <w:pgMar w:top="900" w:right="900" w:bottom="900" w:left="900" w:header="708" w:footer="708" w:gutter="0"/>
          <w:pgNumType w:start="1"/>
          <w:docGrid w:linePitch="360"/>
        </w:sectPr>
      </w:pPr>
    </w:p>
    <w:p>
      <w:pPr>
        <w:pStyle w:val="Heading1"/>
        <w:pBdr>
          <w:bottom w:val="single" w:color="0E8FA0" w:sz="10" w:space="8"/>
        </w:pBdr>
        <w:spacing w:before="400" w:after="160"/>
      </w:pPr>
      <w:r>
        <w:rPr>
          <w:rFonts w:ascii="Arial" w:cs="Arial" w:eastAsia="Arial" w:hAnsi="Arial"/>
          <w:b/>
          <w:bCs/>
          <w:color w:val="0D1B2A"/>
          <w:sz w:val="32"/>
          <w:szCs w:val="32"/>
        </w:rPr>
        <w:t xml:space="preserve">1. Competitive Landscape Overview</w:t>
      </w:r>
    </w:p>
    <w:p>
      <w:pPr>
        <w:spacing w:before="60" w:after="100"/>
      </w:pPr>
      <w:r>
        <w:rPr>
          <w:rFonts w:ascii="Arial" w:cs="Arial" w:eastAsia="Arial" w:hAnsi="Arial"/>
          <w:color w:val="0D1B2A"/>
          <w:sz w:val="20"/>
          <w:szCs w:val="20"/>
        </w:rPr>
        <w:t xml:space="preserve">The competitive landscape for a multi-category lifestyle reservation platform in Egypt and the MENA region spans five distinct competitor tiers. No single player currently operates a unified cross-category booking system in Egypt — this is the central strategic white space.</w:t>
      </w:r>
    </w:p>
    <w:p>
      <w:pPr>
        <w:spacing w:before="160" w:after="80"/>
      </w:pPr>
      <w:r>
        <w:rPr>
          <w:rFonts w:ascii="Arial" w:cs="Arial" w:eastAsia="Arial" w:hAnsi="Arial"/>
          <w:b/>
          <w:bCs/>
          <w:color w:val="0D1B2A"/>
          <w:sz w:val="22"/>
          <w:szCs w:val="22"/>
        </w:rPr>
        <w:t xml:space="preserve">Competitor Tiers at a Glance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2200"/>
        <w:gridCol w:w="2040"/>
      </w:tblGrid>
      <w:tr>
        <w:tc>
          <w:tcPr>
            <w:tcW w:type="dxa" w:w="16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Tier</w:t>
            </w:r>
          </w:p>
        </w:tc>
        <w:tc>
          <w:tcPr>
            <w:tcW w:type="dxa" w:w="24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Players</w:t>
            </w:r>
          </w:p>
        </w:tc>
        <w:tc>
          <w:tcPr>
            <w:tcW w:type="dxa" w:w="22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Egypt Presence</w:t>
            </w:r>
          </w:p>
        </w:tc>
        <w:tc>
          <w:tcPr>
            <w:tcW w:type="dxa" w:w="204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Threat Level</w:t>
            </w:r>
          </w:p>
        </w:tc>
      </w:tr>
      <w:tr>
        <w:tc>
          <w:tcPr>
            <w:tcW w:type="dxa" w:w="1600"/>
            <w:tcBorders>
              <w:top w:val="single" w:color="B2D8E0" w:sz="1"/>
              <w:left w:val="single" w:color="B2D8E0" w:sz="1"/>
              <w:bottom w:val="single" w:color="B2D8E0" w:sz="1"/>
              <w:right w:val="single" w:color="B2D8E0" w:sz="1"/>
            </w:tcBorders>
            <w:shd w:fill="D6EEF2" w:val="clear"/>
            <w:tcMar>
              <w:top w:type="dxa" w:w="90"/>
              <w:left w:type="dxa" w:w="130"/>
              <w:bottom w:type="dxa" w:w="90"/>
              <w:right w:type="dxa" w:w="130"/>
            </w:tcMar>
            <w:vAlign w:val="center"/>
          </w:tcPr>
          <w:p>
            <w:r>
              <w:rPr>
                <w:rFonts w:ascii="Arial" w:cs="Arial" w:eastAsia="Arial" w:hAnsi="Arial"/>
                <w:b/>
                <w:bCs/>
                <w:color w:val="1B4F72"/>
                <w:sz w:val="18"/>
                <w:szCs w:val="18"/>
              </w:rPr>
              <w:t xml:space="preserve">Tier 1</w:t>
            </w:r>
          </w:p>
        </w:tc>
        <w:tc>
          <w:tcPr>
            <w:tcW w:type="dxa" w:w="24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Global restaurant booking giants</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OpenTable, TheFork, Resy</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Minimal — 78 restaurants on OpenTable Egypt</w:t>
            </w:r>
          </w:p>
        </w:tc>
        <w:tc>
          <w:tcPr>
            <w:tcW w:type="dxa" w:w="20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1A7A4A"/>
                <w:sz w:val="18"/>
                <w:szCs w:val="18"/>
              </w:rPr>
              <w:t xml:space="preserve">Low (no Arabic, no Egypt SMB focus)</w:t>
            </w:r>
          </w:p>
        </w:tc>
      </w:tr>
      <w:tr>
        <w:tc>
          <w:tcPr>
            <w:tcW w:type="dxa" w:w="16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r>
              <w:rPr>
                <w:rFonts w:ascii="Arial" w:cs="Arial" w:eastAsia="Arial" w:hAnsi="Arial"/>
                <w:b/>
                <w:bCs/>
                <w:color w:val="1B4F72"/>
                <w:sz w:val="18"/>
                <w:szCs w:val="18"/>
              </w:rPr>
              <w:t xml:space="preserve">Tier 2</w:t>
            </w:r>
          </w:p>
        </w:tc>
        <w:tc>
          <w:tcPr>
            <w:tcW w:type="dxa" w:w="24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MENA-native restaurant platforms</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Eat App, SevenRooms</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UAE/KSA strong, Egypt absent</w:t>
            </w:r>
          </w:p>
        </w:tc>
        <w:tc>
          <w:tcPr>
            <w:tcW w:type="dxa" w:w="204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D4AC0D"/>
                <w:sz w:val="18"/>
                <w:szCs w:val="18"/>
              </w:rPr>
              <w:t xml:space="preserve">Medium (expansion risk)</w:t>
            </w:r>
          </w:p>
        </w:tc>
      </w:tr>
      <w:tr>
        <w:tc>
          <w:tcPr>
            <w:tcW w:type="dxa" w:w="1600"/>
            <w:tcBorders>
              <w:top w:val="single" w:color="B2D8E0" w:sz="1"/>
              <w:left w:val="single" w:color="B2D8E0" w:sz="1"/>
              <w:bottom w:val="single" w:color="B2D8E0" w:sz="1"/>
              <w:right w:val="single" w:color="B2D8E0" w:sz="1"/>
            </w:tcBorders>
            <w:shd w:fill="D6EEF2" w:val="clear"/>
            <w:tcMar>
              <w:top w:type="dxa" w:w="90"/>
              <w:left w:type="dxa" w:w="130"/>
              <w:bottom w:type="dxa" w:w="90"/>
              <w:right w:type="dxa" w:w="130"/>
            </w:tcMar>
            <w:vAlign w:val="center"/>
          </w:tcPr>
          <w:p>
            <w:r>
              <w:rPr>
                <w:rFonts w:ascii="Arial" w:cs="Arial" w:eastAsia="Arial" w:hAnsi="Arial"/>
                <w:b/>
                <w:bCs/>
                <w:color w:val="1B4F72"/>
                <w:sz w:val="18"/>
                <w:szCs w:val="18"/>
              </w:rPr>
              <w:t xml:space="preserve">Tier 3</w:t>
            </w:r>
          </w:p>
        </w:tc>
        <w:tc>
          <w:tcPr>
            <w:tcW w:type="dxa" w:w="24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Global salon &amp; wellness booking</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Fresha, Booksy, Treatwell, Vagaro</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Fresha in UAE/KSA, not Egypt</w:t>
            </w:r>
          </w:p>
        </w:tc>
        <w:tc>
          <w:tcPr>
            <w:tcW w:type="dxa" w:w="20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D4AC0D"/>
                <w:sz w:val="18"/>
                <w:szCs w:val="18"/>
              </w:rPr>
              <w:t xml:space="preserve">Medium-High (Fresha expanding)</w:t>
            </w:r>
          </w:p>
        </w:tc>
      </w:tr>
      <w:tr>
        <w:tc>
          <w:tcPr>
            <w:tcW w:type="dxa" w:w="16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r>
              <w:rPr>
                <w:rFonts w:ascii="Arial" w:cs="Arial" w:eastAsia="Arial" w:hAnsi="Arial"/>
                <w:b/>
                <w:bCs/>
                <w:color w:val="1B4F72"/>
                <w:sz w:val="18"/>
                <w:szCs w:val="18"/>
              </w:rPr>
              <w:t xml:space="preserve">Tier 4</w:t>
            </w:r>
          </w:p>
        </w:tc>
        <w:tc>
          <w:tcPr>
            <w:tcW w:type="dxa" w:w="24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Sports court booking platforms</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Playtomic, OpenCourt, Courty.io</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Courty.io Egypt-only, very early stage</w:t>
            </w:r>
          </w:p>
        </w:tc>
        <w:tc>
          <w:tcPr>
            <w:tcW w:type="dxa" w:w="204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1A7A4A"/>
                <w:sz w:val="18"/>
                <w:szCs w:val="18"/>
              </w:rPr>
              <w:t xml:space="preserve">Low (fragmented, single-category)</w:t>
            </w:r>
          </w:p>
        </w:tc>
      </w:tr>
      <w:tr>
        <w:tc>
          <w:tcPr>
            <w:tcW w:type="dxa" w:w="1600"/>
            <w:tcBorders>
              <w:top w:val="single" w:color="B2D8E0" w:sz="1"/>
              <w:left w:val="single" w:color="B2D8E0" w:sz="1"/>
              <w:bottom w:val="single" w:color="B2D8E0" w:sz="1"/>
              <w:right w:val="single" w:color="B2D8E0" w:sz="1"/>
            </w:tcBorders>
            <w:shd w:fill="D6EEF2" w:val="clear"/>
            <w:tcMar>
              <w:top w:type="dxa" w:w="90"/>
              <w:left w:type="dxa" w:w="130"/>
              <w:bottom w:type="dxa" w:w="90"/>
              <w:right w:type="dxa" w:w="130"/>
            </w:tcMar>
            <w:vAlign w:val="center"/>
          </w:tcPr>
          <w:p>
            <w:r>
              <w:rPr>
                <w:rFonts w:ascii="Arial" w:cs="Arial" w:eastAsia="Arial" w:hAnsi="Arial"/>
                <w:b/>
                <w:bCs/>
                <w:color w:val="1B4F72"/>
                <w:sz w:val="18"/>
                <w:szCs w:val="18"/>
              </w:rPr>
              <w:t xml:space="preserve">Tier 5</w:t>
            </w:r>
          </w:p>
        </w:tc>
        <w:tc>
          <w:tcPr>
            <w:tcW w:type="dxa" w:w="24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Local Egypt booking attempts</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WhatsApp, phone, Bokoo Travel</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WhatsApp dominant across all categories</w:t>
            </w:r>
          </w:p>
        </w:tc>
        <w:tc>
          <w:tcPr>
            <w:tcW w:type="dxa" w:w="20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C0392B"/>
                <w:sz w:val="18"/>
                <w:szCs w:val="18"/>
              </w:rPr>
              <w:t xml:space="preserve">High (entrenched behavior)</w:t>
            </w:r>
          </w:p>
        </w:tc>
      </w:tr>
    </w:tbl>
    <w:p>
      <w:pPr>
        <w:spacing w:before="0" w:after="200"/>
      </w:pPr>
    </w:p>
    <w:p>
      <w:r>
        <w:br w:type="page"/>
      </w:r>
    </w:p>
    <w:p>
      <w:pPr>
        <w:pStyle w:val="Heading1"/>
        <w:pBdr>
          <w:bottom w:val="single" w:color="0E8FA0" w:sz="10" w:space="8"/>
        </w:pBdr>
        <w:spacing w:before="400" w:after="160"/>
      </w:pPr>
      <w:r>
        <w:rPr>
          <w:rFonts w:ascii="Arial" w:cs="Arial" w:eastAsia="Arial" w:hAnsi="Arial"/>
          <w:b/>
          <w:bCs/>
          <w:color w:val="0D1B2A"/>
          <w:sz w:val="32"/>
          <w:szCs w:val="32"/>
        </w:rPr>
        <w:t xml:space="preserve">2. Competitor Deep-Dives</w:t>
      </w:r>
    </w:p>
    <w:p>
      <w:pPr>
        <w:spacing w:before="60" w:after="100"/>
      </w:pPr>
      <w:r>
        <w:rPr>
          <w:rFonts w:ascii="Arial" w:cs="Arial" w:eastAsia="Arial" w:hAnsi="Arial"/>
          <w:color w:val="0D1B2A"/>
          <w:sz w:val="20"/>
          <w:szCs w:val="20"/>
        </w:rPr>
        <w:t xml:space="preserve">Detailed profiles of the most strategically relevant competitors across restaurant booking, salon &amp; wellness, and sports court categories.</w:t>
      </w:r>
    </w:p>
    <w:p>
      <w:pPr>
        <w:spacing w:before="0" w:after="160"/>
      </w:pPr>
    </w:p>
    <w:p>
      <w:pPr>
        <w:pStyle w:val="Heading2"/>
        <w:spacing w:before="300" w:after="120"/>
      </w:pPr>
      <w:r>
        <w:rPr>
          <w:rFonts w:ascii="Arial" w:cs="Arial" w:eastAsia="Arial" w:hAnsi="Arial"/>
          <w:b/>
          <w:bCs/>
          <w:color w:val="1B4F72"/>
          <w:sz w:val="26"/>
          <w:szCs w:val="26"/>
        </w:rPr>
        <w:t xml:space="preserve">2.1  Restaurant Booking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Eat App</w:t>
            </w:r>
            <w:r>
              <w:rPr>
                <w:rFonts w:ascii="Arial" w:cs="Arial" w:eastAsia="Arial" w:hAnsi="Arial"/>
                <w:i/>
                <w:iCs/>
                <w:color w:val="D6EEF2"/>
                <w:sz w:val="20"/>
                <w:szCs w:val="20"/>
              </w:rPr>
              <w:t xml:space="preserve">  —  MENA-native restaurant reservation platform</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Dubai / Bahrain, est. 2015  |  Raised $16M — Forbes Top 50 MENA Startups</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Strong across UAE, KSA, Qatar, Bahrain, Jordan, Oman. Egypt not listed.</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Deeply integrated with premium MENA hotel F&amp;B groups (Emaar, Four Seasons, Ritz-Carlton). Advanced CRM, waitlist, table management, guest data analytics. Native Arabic support. $15M ARR as of 2025.</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No Egypt market entry. Focused on premium/enterprise tier — does not serve mid-market or SMB restaurants. No multi-category capability. Consumer app has limited brand awareness outside UAE.</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Egypt's entire restaurant market below the 5-star tier is unserved. Eat App will not go down-market — leaving thousands of Cairo and Alexandria restaurants with zero digital reservation infrastructure.</w:t>
            </w:r>
          </w:p>
        </w:tc>
      </w:tr>
    </w:tbl>
    <w:p>
      <w:pPr>
        <w:spacing w:before="0" w:after="2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OpenTable</w:t>
            </w:r>
            <w:r>
              <w:rPr>
                <w:rFonts w:ascii="Arial" w:cs="Arial" w:eastAsia="Arial" w:hAnsi="Arial"/>
                <w:i/>
                <w:iCs/>
                <w:color w:val="D6EEF2"/>
                <w:sz w:val="20"/>
                <w:szCs w:val="20"/>
              </w:rPr>
              <w:t xml:space="preserve">  —  Global restaurant booking network (Booking Holdings)</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USA, est. 1998  |  Owned by Booking Holdings (NASDAQ: BKNG)</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Only 78 restaurants listed in all of Egypt as of early 2026. Cairo fine dining only.</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Massive global brand recognition. 60,000+ restaurants worldwide. Loyalty points system. Strong SEO and diner acquisition. Integrated with Google Reserve.</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English-first with poor Arabic localization. No Egypt sales or onboarding team. Pricing ($249–$499/month) too high for Egyptian SMBs. No dynamic pricing. No multi-category.</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78 restaurants is a rounding error for a country of 110M. The USD pricing model is incompatible with post-devaluation Egyptian market realities.</w:t>
            </w:r>
          </w:p>
        </w:tc>
      </w:tr>
    </w:tbl>
    <w:p>
      <w:pPr>
        <w:spacing w:before="0" w:after="2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TheFork (TripAdvisor)</w:t>
            </w:r>
            <w:r>
              <w:rPr>
                <w:rFonts w:ascii="Arial" w:cs="Arial" w:eastAsia="Arial" w:hAnsi="Arial"/>
                <w:i/>
                <w:iCs/>
                <w:color w:val="D6EEF2"/>
                <w:sz w:val="20"/>
                <w:szCs w:val="20"/>
              </w:rPr>
              <w:t xml:space="preserve">  —  European restaurant marketplace</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France, est. 2007  |  Owned by TripAdvisor</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Zero presence in Egypt or MENA.</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9 million monthly bookings. Strong European marketplace model. Last-minute discounts and deals drive high consumer adoption. Review integration with TripAdvisor.</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Purely European/LatAm focus. No MENA roadmap. Zero Arabic support. Commission model (30-35% for new clients) would be prohibitive in Egypt's low-ticket market.</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No threat to Egypt in the near term. However, their marketplace model (pay on acquisition, not subscription) is instructive for Egypt SMB onboarding.</w:t>
            </w:r>
          </w:p>
        </w:tc>
      </w:tr>
    </w:tbl>
    <w:p>
      <w:pPr>
        <w:spacing w:before="0" w:after="240"/>
      </w:pPr>
    </w:p>
    <w:p>
      <w:pPr>
        <w:pStyle w:val="Heading2"/>
        <w:spacing w:before="300" w:after="120"/>
      </w:pPr>
      <w:r>
        <w:rPr>
          <w:rFonts w:ascii="Arial" w:cs="Arial" w:eastAsia="Arial" w:hAnsi="Arial"/>
          <w:b/>
          <w:bCs/>
          <w:color w:val="1B4F72"/>
          <w:sz w:val="26"/>
          <w:szCs w:val="26"/>
        </w:rPr>
        <w:t xml:space="preserve">2.2  Salon &amp; Wellness Booking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Fresha</w:t>
            </w:r>
            <w:r>
              <w:rPr>
                <w:rFonts w:ascii="Arial" w:cs="Arial" w:eastAsia="Arial" w:hAnsi="Arial"/>
                <w:i/>
                <w:iCs/>
                <w:color w:val="D6EEF2"/>
                <w:sz w:val="20"/>
                <w:szCs w:val="20"/>
              </w:rPr>
              <w:t xml:space="preserve">  —  World's #1 beauty &amp; wellness booking platform</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UK, est. 2015 (as Shedul)  |  Raised $185M+ — Series C led by General Atlantic</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Strong in UAE (Dubai dominant). Expanding in KSA. Egypt not yet activated.</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Dominant in UAE. Free-to-list model (recently shifted to £9.95/staff/month). Marketplace + SaaS hybrid. 700M+ appointments booked. 100,000+ businesses. 20% commission on new marketplace clients. Payments, POS, inventory, marketing automation all built in.</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Changed pricing model in early 2025 (was free) causing business owner backlash. Support quality criticized in reviews — no phone support. Venue results driven by sponsorship, hiding organic listings. No multi-category.</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Egypt is a clear next expansion target. Fresha's UAE dominance means Egypt could follow within 12-18 months. This is the single highest-threat competitor if your platform includes salons.</w:t>
            </w:r>
          </w:p>
        </w:tc>
      </w:tr>
    </w:tbl>
    <w:p>
      <w:pPr>
        <w:spacing w:before="0" w:after="2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Booksy</w:t>
            </w:r>
            <w:r>
              <w:rPr>
                <w:rFonts w:ascii="Arial" w:cs="Arial" w:eastAsia="Arial" w:hAnsi="Arial"/>
                <w:i/>
                <w:iCs/>
                <w:color w:val="D6EEF2"/>
                <w:sz w:val="20"/>
                <w:szCs w:val="20"/>
              </w:rPr>
              <w:t xml:space="preserve">  —  Salon appointment booking platform</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Poland, est. 2014  |  Raised $100M+</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Active in select MENA markets but not Egypt.</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Strong SMB focus. Subscription model ($29.99-$119.99/month). Unlimited email marketing, SMS campaigns, loyalty system, no-show protection, card-on-file. Google/Instagram/Facebook booking integration.</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No Arabic language support. Primarily English and European language markets. High price point for Egypt market. No dynamic pricing. No multi-category play.</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Price point and language gaps make Egypt a low-priority market for Booksy. However, their feature set — especially the no-show protection and loyalty mechanics — is the benchmark for salon category design.</w:t>
            </w:r>
          </w:p>
        </w:tc>
      </w:tr>
    </w:tbl>
    <w:p>
      <w:pPr>
        <w:spacing w:before="0" w:after="2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Treatwell</w:t>
            </w:r>
            <w:r>
              <w:rPr>
                <w:rFonts w:ascii="Arial" w:cs="Arial" w:eastAsia="Arial" w:hAnsi="Arial"/>
                <w:i/>
                <w:iCs/>
                <w:color w:val="D6EEF2"/>
                <w:sz w:val="20"/>
                <w:szCs w:val="20"/>
              </w:rPr>
              <w:t xml:space="preserve">  —  Salon marketplace platform</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UK, est. 2009  |  Owned by Encore Capital Group</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Zero presence in MENA.</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20,000+ salons listed. 9M monthly bookings. Strong marketplace visibility and SEO. Multi-language support across Europe. Review system drives trust.</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Europe-only. Very high commission (35% for new clients). No Arabic. Pricing structure incompatible with MENA market. Treatwell's marketplace model puts businesses next to competitors, limiting brand building.</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No near-term MENA threat. Their marketplace commission architecture is a cautionary design note — Egypt businesses will resist high per-booking commissions.</w:t>
            </w:r>
          </w:p>
        </w:tc>
      </w:tr>
    </w:tbl>
    <w:p>
      <w:pPr>
        <w:spacing w:before="0" w:after="240"/>
      </w:pPr>
    </w:p>
    <w:p>
      <w:pPr>
        <w:pStyle w:val="Heading2"/>
        <w:spacing w:before="300" w:after="120"/>
      </w:pPr>
      <w:r>
        <w:rPr>
          <w:rFonts w:ascii="Arial" w:cs="Arial" w:eastAsia="Arial" w:hAnsi="Arial"/>
          <w:b/>
          <w:bCs/>
          <w:color w:val="1B4F72"/>
          <w:sz w:val="26"/>
          <w:szCs w:val="26"/>
        </w:rPr>
        <w:t xml:space="preserve">2.3  Sports Court Booking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Playtomic</w:t>
            </w:r>
            <w:r>
              <w:rPr>
                <w:rFonts w:ascii="Arial" w:cs="Arial" w:eastAsia="Arial" w:hAnsi="Arial"/>
                <w:i/>
                <w:iCs/>
                <w:color w:val="D6EEF2"/>
                <w:sz w:val="20"/>
                <w:szCs w:val="20"/>
              </w:rPr>
              <w:t xml:space="preserve">  —  Global racket sports community and court booking</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Spain, est. 2017  |  Raised €65M+</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Not present in Egypt. Some Gulf market awareness in padel-active markets.</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World's largest padel and tennis booking community. Social layer (find players, create matches). Dynamic pricing support. Used by 4M+ players globally. Club management + consumer app dual-sided.</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Padel and tennis focused — no football 5, basketball, gaming. No Egypt/MENA presence. English/Spanish/Portuguese primary languages. No Arabic.</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Padel is exploding in Cairo compounds. Playtomic is the global standard but has no Egypt presence. Building the social layer (find players, create squad games) on top of court booking is a major opportunity local players have not addressed.</w:t>
            </w:r>
          </w:p>
        </w:tc>
      </w:tr>
    </w:tbl>
    <w:p>
      <w:pPr>
        <w:spacing w:before="0" w:after="2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8640"/>
      </w:tblGrid>
      <w:tr>
        <w:tc>
          <w:tcPr>
            <w:tcW w:type="dxa" w:w="1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Company</w:t>
            </w:r>
          </w:p>
        </w:tc>
        <w:tc>
          <w:tcPr>
            <w:tcW w:type="dxa" w:w="8640"/>
            <w:tcBorders>
              <w:top w:val="single" w:color="B2D8E0" w:sz="1"/>
              <w:left w:val="single" w:color="B2D8E0" w:sz="1"/>
              <w:bottom w:val="single" w:color="B2D8E0" w:sz="1"/>
              <w:right w:val="single" w:color="B2D8E0" w:sz="1"/>
            </w:tcBorders>
            <w:shd w:fill="1B4F72" w:val="clear"/>
            <w:tcMar>
              <w:top w:type="dxa" w:w="100"/>
              <w:left w:type="dxa" w:w="140"/>
              <w:bottom w:type="dxa" w:w="100"/>
              <w:right w:type="dxa" w:w="140"/>
            </w:tcMar>
          </w:tcPr>
          <w:p>
            <w:r>
              <w:rPr>
                <w:rFonts w:ascii="Arial" w:cs="Arial" w:eastAsia="Arial" w:hAnsi="Arial"/>
                <w:b/>
                <w:bCs/>
                <w:color w:val="FFFFFF"/>
                <w:sz w:val="22"/>
                <w:szCs w:val="22"/>
              </w:rPr>
              <w:t xml:space="preserve">Courty.io</w:t>
            </w:r>
            <w:r>
              <w:rPr>
                <w:rFonts w:ascii="Arial" w:cs="Arial" w:eastAsia="Arial" w:hAnsi="Arial"/>
                <w:i/>
                <w:iCs/>
                <w:color w:val="D6EEF2"/>
                <w:sz w:val="20"/>
                <w:szCs w:val="20"/>
              </w:rPr>
              <w:t xml:space="preserve">  —  Egypt sports court booking platform</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Origin / Funding</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Egypt (CRTY Group Ltd), est. ~2022  |  Early stage — funding undisclosed</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Egypt Presence</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Active in Egypt — claims to be '#1 sports booking platform in Egypt'. Covers tennis, football, basketball.</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Strengths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Egypt-native. Arabic first. Covers multiple court sports. Only local player with any digital footprint in this category.</w:t>
            </w:r>
          </w:p>
        </w:tc>
      </w:tr>
      <w:tr>
        <w:tc>
          <w:tcPr>
            <w:tcW w:type="dxa" w:w="18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Weaknesses</w:t>
            </w:r>
          </w:p>
        </w:tc>
        <w:tc>
          <w:tcPr>
            <w:tcW w:type="dxa" w:w="86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Very early stage. No social layer. No dynamic pricing evidence. No player matching or squad creation. Single-category only. No salon, restaurant, or gaming cafe integration.</w:t>
            </w:r>
          </w:p>
        </w:tc>
      </w:tr>
      <w:tr>
        <w:tc>
          <w:tcPr>
            <w:tcW w:type="dxa" w:w="1800"/>
            <w:tcBorders>
              <w:top w:val="single" w:color="B2D8E0" w:sz="1"/>
              <w:left w:val="single" w:color="B2D8E0" w:sz="1"/>
              <w:bottom w:val="single" w:color="B2D8E0" w:sz="1"/>
              <w:right w:val="single" w:color="B2D8E0" w:sz="1"/>
            </w:tcBorders>
            <w:shd w:fill="FFF3CD" w:val="clear"/>
            <w:tcMar>
              <w:top w:type="dxa" w:w="90"/>
              <w:left w:type="dxa" w:w="130"/>
              <w:bottom w:type="dxa" w:w="90"/>
              <w:right w:type="dxa" w:w="130"/>
            </w:tcMar>
            <w:vAlign w:val="center"/>
          </w:tcPr>
          <w:p>
            <w:r>
              <w:rPr>
                <w:rFonts w:ascii="Arial" w:cs="Arial" w:eastAsia="Arial" w:hAnsi="Arial"/>
                <w:b/>
                <w:bCs/>
                <w:color w:val="D4AC0D"/>
                <w:sz w:val="18"/>
                <w:szCs w:val="18"/>
              </w:rPr>
              <w:t xml:space="preserve">Egypt Gap</w:t>
            </w:r>
          </w:p>
        </w:tc>
        <w:tc>
          <w:tcPr>
            <w:tcW w:type="dxa" w:w="8640"/>
            <w:tcBorders>
              <w:top w:val="single" w:color="B2D8E0" w:sz="1"/>
              <w:left w:val="single" w:color="B2D8E0" w:sz="1"/>
              <w:bottom w:val="single" w:color="B2D8E0" w:sz="1"/>
              <w:right w:val="single" w:color="B2D8E0" w:sz="1"/>
            </w:tcBorders>
            <w:shd w:fill="FFFFF0"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Most direct local competitor in the courts category. Their early-mover status in Egypt is a weak moat — no significant funding, no feature depth, no brand marketing visible. Acqui-hire or partnership could be worth exploring.</w:t>
            </w:r>
          </w:p>
        </w:tc>
      </w:tr>
    </w:tbl>
    <w:p>
      <w:pPr>
        <w:spacing w:before="0" w:after="240"/>
      </w:pPr>
    </w:p>
    <w:p>
      <w:r>
        <w:br w:type="page"/>
      </w:r>
    </w:p>
    <w:p>
      <w:pPr>
        <w:pStyle w:val="Heading1"/>
        <w:pBdr>
          <w:bottom w:val="single" w:color="0E8FA0" w:sz="10" w:space="8"/>
        </w:pBdr>
        <w:spacing w:before="400" w:after="160"/>
      </w:pPr>
      <w:r>
        <w:rPr>
          <w:rFonts w:ascii="Arial" w:cs="Arial" w:eastAsia="Arial" w:hAnsi="Arial"/>
          <w:b/>
          <w:bCs/>
          <w:color w:val="0D1B2A"/>
          <w:sz w:val="32"/>
          <w:szCs w:val="32"/>
        </w:rPr>
        <w:t xml:space="preserve">3. Feature Benchmarking Matrix</w:t>
      </w:r>
    </w:p>
    <w:p>
      <w:pPr>
        <w:spacing w:before="60" w:after="100"/>
      </w:pPr>
      <w:r>
        <w:rPr>
          <w:rFonts w:ascii="Arial" w:cs="Arial" w:eastAsia="Arial" w:hAnsi="Arial"/>
          <w:color w:val="0D1B2A"/>
          <w:sz w:val="20"/>
          <w:szCs w:val="20"/>
        </w:rPr>
        <w:t xml:space="preserve">The matrix below scores each competitor on 40 product features across six capability domains. Our platform targets full capability across all dimensions — the columns reveal where each competitor is structurally weak and where your strategic differentiation is clearest.</w:t>
      </w:r>
    </w:p>
    <w:p>
      <w:pPr>
        <w:spacing w:before="0" w:after="80"/>
      </w:pPr>
    </w:p>
    <w:p>
      <w:pPr>
        <w:spacing w:before="80" w:after="60"/>
      </w:pPr>
      <w:r>
        <w:rPr>
          <w:rFonts w:ascii="Arial" w:cs="Arial" w:eastAsia="Arial" w:hAnsi="Arial"/>
          <w:b/>
          <w:bCs/>
          <w:color w:val="0D1B2A"/>
          <w:sz w:val="17"/>
          <w:szCs w:val="17"/>
        </w:rPr>
        <w:t xml:space="preserve">Legend:  </w:t>
      </w:r>
      <w:r>
        <w:rPr>
          <w:rFonts w:ascii="Arial" w:cs="Arial" w:eastAsia="Arial" w:hAnsi="Arial"/>
          <w:b/>
          <w:bCs/>
          <w:color w:val="1A7A4A"/>
          <w:sz w:val="17"/>
          <w:szCs w:val="17"/>
        </w:rPr>
        <w:t xml:space="preserve">Strong </w:t>
      </w:r>
      <w:r>
        <w:rPr>
          <w:rFonts w:ascii="Arial" w:cs="Arial" w:eastAsia="Arial" w:hAnsi="Arial"/>
          <w:color w:val="0D1B2A"/>
          <w:sz w:val="17"/>
          <w:szCs w:val="17"/>
        </w:rPr>
        <w:t xml:space="preserve">= Full feature parity    </w:t>
      </w:r>
      <w:r>
        <w:rPr>
          <w:rFonts w:ascii="Arial" w:cs="Arial" w:eastAsia="Arial" w:hAnsi="Arial"/>
          <w:b/>
          <w:bCs/>
          <w:color w:val="857A00"/>
          <w:sz w:val="17"/>
          <w:szCs w:val="17"/>
        </w:rPr>
        <w:t xml:space="preserve">Partial </w:t>
      </w:r>
      <w:r>
        <w:rPr>
          <w:rFonts w:ascii="Arial" w:cs="Arial" w:eastAsia="Arial" w:hAnsi="Arial"/>
          <w:color w:val="0D1B2A"/>
          <w:sz w:val="17"/>
          <w:szCs w:val="17"/>
        </w:rPr>
        <w:t xml:space="preserve">= Limited capability    </w:t>
      </w:r>
      <w:r>
        <w:rPr>
          <w:rFonts w:ascii="Arial" w:cs="Arial" w:eastAsia="Arial" w:hAnsi="Arial"/>
          <w:b/>
          <w:bCs/>
          <w:color w:val="A04000"/>
          <w:sz w:val="17"/>
          <w:szCs w:val="17"/>
        </w:rPr>
        <w:t xml:space="preserve">Weak </w:t>
      </w:r>
      <w:r>
        <w:rPr>
          <w:rFonts w:ascii="Arial" w:cs="Arial" w:eastAsia="Arial" w:hAnsi="Arial"/>
          <w:color w:val="0D1B2A"/>
          <w:sz w:val="17"/>
          <w:szCs w:val="17"/>
        </w:rPr>
        <w:t xml:space="preserve">= Rudimentary only    </w:t>
      </w:r>
      <w:r>
        <w:rPr>
          <w:rFonts w:ascii="Arial" w:cs="Arial" w:eastAsia="Arial" w:hAnsi="Arial"/>
          <w:b/>
          <w:bCs/>
          <w:color w:val="8B0000"/>
          <w:sz w:val="17"/>
          <w:szCs w:val="17"/>
        </w:rPr>
        <w:t xml:space="preserve">None </w:t>
      </w:r>
      <w:r>
        <w:rPr>
          <w:rFonts w:ascii="Arial" w:cs="Arial" w:eastAsia="Arial" w:hAnsi="Arial"/>
          <w:color w:val="0D1B2A"/>
          <w:sz w:val="17"/>
          <w:szCs w:val="17"/>
        </w:rPr>
        <w:t xml:space="preserve">= Not available</w:t>
      </w:r>
    </w:p>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1240"/>
        <w:gridCol w:w="1080"/>
        <w:gridCol w:w="1000"/>
        <w:gridCol w:w="1000"/>
        <w:gridCol w:w="1080"/>
        <w:gridCol w:w="1080"/>
        <w:gridCol w:w="1360"/>
      </w:tblGrid>
      <w:tr>
        <w:tc>
          <w:tcPr>
            <w:tcW w:type="dxa" w:w="260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Feature</w:t>
            </w:r>
          </w:p>
        </w:tc>
        <w:tc>
          <w:tcPr>
            <w:tcW w:type="dxa" w:w="124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Our Platform</w:t>
            </w:r>
          </w:p>
        </w:tc>
        <w:tc>
          <w:tcPr>
            <w:tcW w:type="dxa" w:w="108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Eat App</w:t>
            </w:r>
          </w:p>
        </w:tc>
        <w:tc>
          <w:tcPr>
            <w:tcW w:type="dxa" w:w="100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Fresha</w:t>
            </w:r>
          </w:p>
        </w:tc>
        <w:tc>
          <w:tcPr>
            <w:tcW w:type="dxa" w:w="100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Booksy</w:t>
            </w:r>
          </w:p>
        </w:tc>
        <w:tc>
          <w:tcPr>
            <w:tcW w:type="dxa" w:w="108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Playtomic</w:t>
            </w:r>
          </w:p>
        </w:tc>
        <w:tc>
          <w:tcPr>
            <w:tcW w:type="dxa" w:w="108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Courty.io</w:t>
            </w:r>
          </w:p>
        </w:tc>
        <w:tc>
          <w:tcPr>
            <w:tcW w:type="dxa" w:w="1360"/>
            <w:tcBorders>
              <w:top w:val="single" w:color="B2D8E0" w:sz="1"/>
              <w:left w:val="single" w:color="B2D8E0" w:sz="1"/>
              <w:bottom w:val="single" w:color="B2D8E0" w:sz="1"/>
              <w:right w:val="single" w:color="B2D8E0" w:sz="1"/>
            </w:tcBorders>
            <w:shd w:fill="0D1B2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OpenTable</w:t>
            </w:r>
          </w:p>
        </w:tc>
      </w:tr>
      <w:tr>
        <w:tc>
          <w:tcPr>
            <w:tcW w:type="dxa" w:w="10440"/>
            <w:gridSpan w:val="8"/>
            <w:tcBorders>
              <w:top w:val="single" w:color="0D1B2A" w:sz="1"/>
              <w:left w:val="single" w:color="0D1B2A" w:sz="1"/>
              <w:bottom w:val="single" w:color="0D1B2A" w:sz="1"/>
              <w:right w:val="single" w:color="0D1B2A" w:sz="1"/>
            </w:tcBorders>
            <w:shd w:fill="0D1B2A" w:val="clear"/>
            <w:tcMar>
              <w:top w:type="dxa" w:w="80"/>
              <w:left w:type="dxa" w:w="130"/>
              <w:bottom w:type="dxa" w:w="80"/>
              <w:right w:type="dxa" w:w="130"/>
            </w:tcMar>
          </w:tcPr>
          <w:p>
            <w:r>
              <w:rPr>
                <w:rFonts w:ascii="Arial" w:cs="Arial" w:eastAsia="Arial" w:hAnsi="Arial"/>
                <w:b/>
                <w:bCs/>
                <w:color w:val="FFFFFF"/>
                <w:sz w:val="19"/>
                <w:szCs w:val="19"/>
              </w:rPr>
              <w:t xml:space="preserve">CORE BOOKING ENGINE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Real-time availability</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Instant booking confirm.</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Multi-category booking</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Deposit / prepayment</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No-show fee capture</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Dynamic / surge pricing</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Flat fee by business owner</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Waitlist management</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Group / squad booking</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Reschedule &amp; cancellation</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10440"/>
            <w:gridSpan w:val="8"/>
            <w:tcBorders>
              <w:top w:val="single" w:color="0D1B2A" w:sz="1"/>
              <w:left w:val="single" w:color="0D1B2A" w:sz="1"/>
              <w:bottom w:val="single" w:color="0D1B2A" w:sz="1"/>
              <w:right w:val="single" w:color="0D1B2A" w:sz="1"/>
            </w:tcBorders>
            <w:shd w:fill="0D1B2A" w:val="clear"/>
            <w:tcMar>
              <w:top w:type="dxa" w:w="80"/>
              <w:left w:type="dxa" w:w="130"/>
              <w:bottom w:type="dxa" w:w="80"/>
              <w:right w:type="dxa" w:w="130"/>
            </w:tcMar>
          </w:tcPr>
          <w:p>
            <w:r>
              <w:rPr>
                <w:rFonts w:ascii="Arial" w:cs="Arial" w:eastAsia="Arial" w:hAnsi="Arial"/>
                <w:b/>
                <w:bCs/>
                <w:color w:val="FFFFFF"/>
                <w:sz w:val="19"/>
                <w:szCs w:val="19"/>
              </w:rPr>
              <w:t xml:space="preserve">TAILORED USER JOURNEYS</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Occasion-first flow (restaurants)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Stylist preference (salons)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Sport + equipment bundling</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Pre-order / add-ons at booking</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Service category personalization</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r>
      <w:tr>
        <w:tc>
          <w:tcPr>
            <w:tcW w:type="dxa" w:w="10440"/>
            <w:gridSpan w:val="8"/>
            <w:tcBorders>
              <w:top w:val="single" w:color="0D1B2A" w:sz="1"/>
              <w:left w:val="single" w:color="0D1B2A" w:sz="1"/>
              <w:bottom w:val="single" w:color="0D1B2A" w:sz="1"/>
              <w:right w:val="single" w:color="0D1B2A" w:sz="1"/>
            </w:tcBorders>
            <w:shd w:fill="0D1B2A" w:val="clear"/>
            <w:tcMar>
              <w:top w:type="dxa" w:w="80"/>
              <w:left w:type="dxa" w:w="130"/>
              <w:bottom w:type="dxa" w:w="80"/>
              <w:right w:type="dxa" w:w="130"/>
            </w:tcMar>
          </w:tcPr>
          <w:p>
            <w:r>
              <w:rPr>
                <w:rFonts w:ascii="Arial" w:cs="Arial" w:eastAsia="Arial" w:hAnsi="Arial"/>
                <w:b/>
                <w:bCs/>
                <w:color w:val="FFFFFF"/>
                <w:sz w:val="19"/>
                <w:szCs w:val="19"/>
              </w:rPr>
              <w:t xml:space="preserve">LOCALIZATION &amp; PAYMENTS</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Full Arabic UI (RTL)</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Egyptian EGP currency</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InstaPay integration</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Wallets (Fawry, Vodafone)</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Card-on-file (no-show prot)</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WhatsApp booking channel</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10440"/>
            <w:gridSpan w:val="8"/>
            <w:tcBorders>
              <w:top w:val="single" w:color="0D1B2A" w:sz="1"/>
              <w:left w:val="single" w:color="0D1B2A" w:sz="1"/>
              <w:bottom w:val="single" w:color="0D1B2A" w:sz="1"/>
              <w:right w:val="single" w:color="0D1B2A" w:sz="1"/>
            </w:tcBorders>
            <w:shd w:fill="0D1B2A" w:val="clear"/>
            <w:tcMar>
              <w:top w:type="dxa" w:w="80"/>
              <w:left w:type="dxa" w:w="130"/>
              <w:bottom w:type="dxa" w:w="80"/>
              <w:right w:type="dxa" w:w="130"/>
            </w:tcMar>
          </w:tcPr>
          <w:p>
            <w:r>
              <w:rPr>
                <w:rFonts w:ascii="Arial" w:cs="Arial" w:eastAsia="Arial" w:hAnsi="Arial"/>
                <w:b/>
                <w:bCs/>
                <w:color w:val="FFFFFF"/>
                <w:sz w:val="19"/>
                <w:szCs w:val="19"/>
              </w:rPr>
              <w:t xml:space="preserve">BUSINESS DASHBOARD (SUPPLY SIDE)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Calendar / schedule mgmt</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Staff &amp; resource assignment</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CRM / guest profiles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Analytics &amp; reporting</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Dynamic pricing controls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Promotion / discount tools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Multi-branch management</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SaaS subscription tiers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10440"/>
            <w:gridSpan w:val="8"/>
            <w:tcBorders>
              <w:top w:val="single" w:color="0D1B2A" w:sz="1"/>
              <w:left w:val="single" w:color="0D1B2A" w:sz="1"/>
              <w:bottom w:val="single" w:color="0D1B2A" w:sz="1"/>
              <w:right w:val="single" w:color="0D1B2A" w:sz="1"/>
            </w:tcBorders>
            <w:shd w:fill="0D1B2A" w:val="clear"/>
            <w:tcMar>
              <w:top w:type="dxa" w:w="80"/>
              <w:left w:type="dxa" w:w="130"/>
              <w:bottom w:type="dxa" w:w="80"/>
              <w:right w:type="dxa" w:w="130"/>
            </w:tcMar>
          </w:tcPr>
          <w:p>
            <w:r>
              <w:rPr>
                <w:rFonts w:ascii="Arial" w:cs="Arial" w:eastAsia="Arial" w:hAnsi="Arial"/>
                <w:b/>
                <w:bCs/>
                <w:color w:val="FFFFFF"/>
                <w:sz w:val="19"/>
                <w:szCs w:val="19"/>
              </w:rPr>
              <w:t xml:space="preserve">CONSUMER-FACING APP</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Discovery / search</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Reviews &amp; ratings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Loyalty / rewards program</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Cross-category loyalty</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Social layer (invite squad)</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Booking history &amp; repeat</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Push &amp; SMS reminders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10440"/>
            <w:gridSpan w:val="8"/>
            <w:tcBorders>
              <w:top w:val="single" w:color="0D1B2A" w:sz="1"/>
              <w:left w:val="single" w:color="0D1B2A" w:sz="1"/>
              <w:bottom w:val="single" w:color="0D1B2A" w:sz="1"/>
              <w:right w:val="single" w:color="0D1B2A" w:sz="1"/>
            </w:tcBorders>
            <w:shd w:fill="0D1B2A" w:val="clear"/>
            <w:tcMar>
              <w:top w:type="dxa" w:w="80"/>
              <w:left w:type="dxa" w:w="130"/>
              <w:bottom w:type="dxa" w:w="80"/>
              <w:right w:type="dxa" w:w="130"/>
            </w:tcMar>
          </w:tcPr>
          <w:p>
            <w:r>
              <w:rPr>
                <w:rFonts w:ascii="Arial" w:cs="Arial" w:eastAsia="Arial" w:hAnsi="Arial"/>
                <w:b/>
                <w:bCs/>
                <w:color w:val="FFFFFF"/>
                <w:sz w:val="19"/>
                <w:szCs w:val="19"/>
              </w:rPr>
              <w:t xml:space="preserve">PLATFORM &amp; ECOSYSTEM</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API / POS integration</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Marketplace / discovery tab</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Featured listing / ads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0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c>
          <w:tcPr>
            <w:tcW w:type="dxa" w:w="100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EE9D0" w:val="clear"/>
            <w:tcMar>
              <w:top w:type="dxa" w:w="80"/>
              <w:left w:type="dxa" w:w="60"/>
              <w:bottom w:type="dxa" w:w="80"/>
              <w:right w:type="dxa" w:w="60"/>
            </w:tcMar>
          </w:tcPr>
          <w:p>
            <w:pPr>
              <w:jc w:val="center"/>
            </w:pPr>
            <w:r>
              <w:rPr>
                <w:rFonts w:ascii="Arial" w:cs="Arial" w:eastAsia="Arial" w:hAnsi="Arial"/>
                <w:b/>
                <w:bCs/>
                <w:color w:val="A04000"/>
                <w:sz w:val="15"/>
                <w:szCs w:val="15"/>
              </w:rPr>
              <w:t xml:space="preserve">Weak</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E8F5E9" w:val="clear"/>
            <w:tcMar>
              <w:top w:type="dxa" w:w="80"/>
              <w:left w:type="dxa" w:w="60"/>
              <w:bottom w:type="dxa" w:w="80"/>
              <w:right w:type="dxa" w:w="60"/>
            </w:tcMar>
          </w:tcPr>
          <w:p>
            <w:pPr>
              <w:jc w:val="center"/>
            </w:pPr>
            <w:r>
              <w:rPr>
                <w:rFonts w:ascii="Arial" w:cs="Arial" w:eastAsia="Arial" w:hAnsi="Arial"/>
                <w:b/>
                <w:bCs/>
                <w:color w:val="1A7A4A"/>
                <w:sz w:val="15"/>
                <w:szCs w:val="15"/>
              </w:rPr>
              <w:t xml:space="preserve">Strong</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Data intelligence products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EFBD8" w:val="clear"/>
            <w:tcMar>
              <w:top w:type="dxa" w:w="80"/>
              <w:left w:type="dxa" w:w="60"/>
              <w:bottom w:type="dxa" w:w="80"/>
              <w:right w:type="dxa" w:w="60"/>
            </w:tcMar>
          </w:tcPr>
          <w:p>
            <w:pPr>
              <w:jc w:val="center"/>
            </w:pPr>
            <w:r>
              <w:rPr>
                <w:rFonts w:ascii="Arial" w:cs="Arial" w:eastAsia="Arial" w:hAnsi="Arial"/>
                <w:b/>
                <w:bCs/>
                <w:color w:val="857A00"/>
                <w:sz w:val="15"/>
                <w:szCs w:val="15"/>
              </w:rPr>
              <w:t xml:space="preserve">Partial</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r>
        <w:tc>
          <w:tcPr>
            <w:tcW w:type="dxa" w:w="2600"/>
            <w:tcBorders>
              <w:top w:val="single" w:color="B2D8E0" w:sz="1"/>
              <w:left w:val="single" w:color="B2D8E0" w:sz="1"/>
              <w:bottom w:val="single" w:color="B2D8E0" w:sz="1"/>
              <w:right w:val="single" w:color="B2D8E0" w:sz="1"/>
            </w:tcBorders>
            <w:shd w:fill="EBF5FB" w:val="clear"/>
            <w:tcMar>
              <w:top w:type="dxa" w:w="80"/>
              <w:left w:type="dxa" w:w="130"/>
              <w:bottom w:type="dxa" w:w="80"/>
              <w:right w:type="dxa" w:w="130"/>
            </w:tcMar>
          </w:tcPr>
          <w:p>
            <w:r>
              <w:rPr>
                <w:rFonts w:ascii="Arial" w:cs="Arial" w:eastAsia="Arial" w:hAnsi="Arial"/>
                <w:b/>
                <w:bCs/>
                <w:color w:val="1B4F72"/>
                <w:sz w:val="17"/>
                <w:szCs w:val="17"/>
              </w:rPr>
              <w:t xml:space="preserve">White-label for developers</w:t>
            </w:r>
          </w:p>
        </w:tc>
        <w:tc>
          <w:tcPr>
            <w:tcW w:type="dxa" w:w="1240"/>
            <w:tcBorders>
              <w:top w:val="single" w:color="B2D8E0" w:sz="1"/>
              <w:left w:val="single" w:color="B2D8E0" w:sz="1"/>
              <w:bottom w:val="single" w:color="B2D8E0" w:sz="1"/>
              <w:right w:val="single" w:color="B2D8E0" w:sz="1"/>
            </w:tcBorders>
            <w:shd w:fill="E8F5E9" w:val="clear"/>
            <w:tcMar>
              <w:top w:type="dxa" w:w="80"/>
              <w:left w:type="dxa" w:w="80"/>
              <w:bottom w:type="dxa" w:w="80"/>
              <w:right w:type="dxa" w:w="80"/>
            </w:tcMar>
          </w:tcPr>
          <w:p>
            <w:pPr>
              <w:jc w:val="center"/>
            </w:pPr>
            <w:r>
              <w:rPr>
                <w:rFonts w:ascii="Arial" w:cs="Arial" w:eastAsia="Arial" w:hAnsi="Arial"/>
                <w:b/>
                <w:bCs/>
                <w:color w:val="1A7A4A"/>
                <w:sz w:val="17"/>
                <w:szCs w:val="17"/>
              </w:rPr>
              <w:t xml:space="preserve">Full</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0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08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c>
          <w:tcPr>
            <w:tcW w:type="dxa" w:w="1360"/>
            <w:tcBorders>
              <w:top w:val="single" w:color="B2D8E0" w:sz="1"/>
              <w:left w:val="single" w:color="B2D8E0" w:sz="1"/>
              <w:bottom w:val="single" w:color="B2D8E0" w:sz="1"/>
              <w:right w:val="single" w:color="B2D8E0" w:sz="1"/>
            </w:tcBorders>
            <w:shd w:fill="FDEDEC" w:val="clear"/>
            <w:tcMar>
              <w:top w:type="dxa" w:w="80"/>
              <w:left w:type="dxa" w:w="60"/>
              <w:bottom w:type="dxa" w:w="80"/>
              <w:right w:type="dxa" w:w="60"/>
            </w:tcMar>
          </w:tcPr>
          <w:p>
            <w:pPr>
              <w:jc w:val="center"/>
            </w:pPr>
            <w:r>
              <w:rPr>
                <w:rFonts w:ascii="Arial" w:cs="Arial" w:eastAsia="Arial" w:hAnsi="Arial"/>
                <w:b/>
                <w:bCs/>
                <w:color w:val="8B0000"/>
                <w:sz w:val="15"/>
                <w:szCs w:val="15"/>
              </w:rPr>
              <w:t xml:space="preserve">None</w:t>
            </w:r>
          </w:p>
        </w:tc>
      </w:tr>
    </w:tbl>
    <w:p>
      <w:pPr>
        <w:spacing w:before="0" w:after="200"/>
      </w:pPr>
    </w:p>
    <w:p>
      <w:r>
        <w:br w:type="page"/>
      </w:r>
    </w:p>
    <w:p>
      <w:pPr>
        <w:pStyle w:val="Heading1"/>
        <w:pBdr>
          <w:bottom w:val="single" w:color="0E8FA0" w:sz="10" w:space="8"/>
        </w:pBdr>
        <w:spacing w:before="400" w:after="160"/>
      </w:pPr>
      <w:r>
        <w:rPr>
          <w:rFonts w:ascii="Arial" w:cs="Arial" w:eastAsia="Arial" w:hAnsi="Arial"/>
          <w:b/>
          <w:bCs/>
          <w:color w:val="0D1B2A"/>
          <w:sz w:val="32"/>
          <w:szCs w:val="32"/>
        </w:rPr>
        <w:t xml:space="preserve">4. Strategic Gaps &amp; Opportunity Map</w:t>
      </w:r>
    </w:p>
    <w:p>
      <w:pPr>
        <w:spacing w:before="60" w:after="100"/>
      </w:pPr>
      <w:r>
        <w:rPr>
          <w:rFonts w:ascii="Arial" w:cs="Arial" w:eastAsia="Arial" w:hAnsi="Arial"/>
          <w:color w:val="0D1B2A"/>
          <w:sz w:val="20"/>
          <w:szCs w:val="20"/>
        </w:rPr>
        <w:t xml:space="preserve">The matrix below maps every identified competitive gap to a concrete product opportunity and assigns a priority level. Critical gaps are addressable in Horizon 1 (0-12 months) and represent your defensible moat.</w:t>
      </w:r>
    </w:p>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gridCol w:w="1440"/>
      </w:tblGrid>
      <w:tr>
        <w:tc>
          <w:tcPr>
            <w:tcW w:type="dxa" w:w="26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Gap in Market</w:t>
            </w:r>
          </w:p>
        </w:tc>
        <w:tc>
          <w:tcPr>
            <w:tcW w:type="dxa" w:w="22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Who Has It</w:t>
            </w:r>
          </w:p>
        </w:tc>
        <w:tc>
          <w:tcPr>
            <w:tcW w:type="dxa" w:w="42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Your Opportunity</w:t>
            </w:r>
          </w:p>
        </w:tc>
        <w:tc>
          <w:tcPr>
            <w:tcW w:type="dxa" w:w="144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No multi-category platform</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Nobody in Egypt/MENA</w:t>
            </w:r>
          </w:p>
        </w:tc>
        <w:tc>
          <w:tcPr>
            <w:tcW w:type="dxa" w:w="4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First-mover advantage in a unified lifestyle booking OS. Network effects compound across categories.</w:t>
            </w:r>
          </w:p>
        </w:tc>
        <w:tc>
          <w:tcPr>
            <w:tcW w:type="dxa" w:w="1440"/>
            <w:tcBorders>
              <w:top w:val="single" w:color="B2D8E0" w:sz="1"/>
              <w:left w:val="single" w:color="B2D8E0" w:sz="1"/>
              <w:bottom w:val="single" w:color="B2D8E0" w:sz="1"/>
              <w:right w:val="single" w:color="B2D8E0" w:sz="1"/>
            </w:tcBorders>
            <w:shd w:fill="FDECEA" w:val="clear"/>
            <w:tcMar>
              <w:top w:type="dxa" w:w="90"/>
              <w:left w:type="dxa" w:w="80"/>
              <w:bottom w:type="dxa" w:w="90"/>
              <w:right w:type="dxa" w:w="80"/>
            </w:tcMar>
          </w:tcPr>
          <w:p>
            <w:pPr>
              <w:jc w:val="center"/>
            </w:pPr>
            <w:r>
              <w:rPr>
                <w:rFonts w:ascii="Arial" w:cs="Arial" w:eastAsia="Arial" w:hAnsi="Arial"/>
                <w:b/>
                <w:bCs/>
                <w:color w:val="C0392B"/>
                <w:sz w:val="16"/>
                <w:szCs w:val="16"/>
              </w:rPr>
              <w:t xml:space="preserve">Critical</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No Arabic-native booking app for SMBs</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Nobody (all players are English-first)</w:t>
            </w:r>
          </w:p>
        </w:tc>
        <w:tc>
          <w:tcPr>
            <w:tcW w:type="dxa" w:w="4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Deep Arabic localization across UI, notifications, business dashboard, and support. Default RTL.</w:t>
            </w:r>
          </w:p>
        </w:tc>
        <w:tc>
          <w:tcPr>
            <w:tcW w:type="dxa" w:w="1440"/>
            <w:tcBorders>
              <w:top w:val="single" w:color="B2D8E0" w:sz="1"/>
              <w:left w:val="single" w:color="B2D8E0" w:sz="1"/>
              <w:bottom w:val="single" w:color="B2D8E0" w:sz="1"/>
              <w:right w:val="single" w:color="B2D8E0" w:sz="1"/>
            </w:tcBorders>
            <w:shd w:fill="FDECEA" w:val="clear"/>
            <w:tcMar>
              <w:top w:type="dxa" w:w="90"/>
              <w:left w:type="dxa" w:w="80"/>
              <w:bottom w:type="dxa" w:w="90"/>
              <w:right w:type="dxa" w:w="80"/>
            </w:tcMar>
          </w:tcPr>
          <w:p>
            <w:pPr>
              <w:jc w:val="center"/>
            </w:pPr>
            <w:r>
              <w:rPr>
                <w:rFonts w:ascii="Arial" w:cs="Arial" w:eastAsia="Arial" w:hAnsi="Arial"/>
                <w:b/>
                <w:bCs/>
                <w:color w:val="C0392B"/>
                <w:sz w:val="16"/>
                <w:szCs w:val="16"/>
              </w:rPr>
              <w:t xml:space="preserve">Critical</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Dynamic pricing absent everywhere</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Nobody in Egypt/MENA</w:t>
            </w:r>
          </w:p>
        </w:tc>
        <w:tc>
          <w:tcPr>
            <w:tcW w:type="dxa" w:w="4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Automated surge pricing for peak hours (Friday dinner, weekend courts) — first platform to offer this to Egyptian SMBs.</w:t>
            </w:r>
          </w:p>
        </w:tc>
        <w:tc>
          <w:tcPr>
            <w:tcW w:type="dxa" w:w="1440"/>
            <w:tcBorders>
              <w:top w:val="single" w:color="B2D8E0" w:sz="1"/>
              <w:left w:val="single" w:color="B2D8E0" w:sz="1"/>
              <w:bottom w:val="single" w:color="B2D8E0" w:sz="1"/>
              <w:right w:val="single" w:color="B2D8E0" w:sz="1"/>
            </w:tcBorders>
            <w:shd w:fill="FDECEA" w:val="clear"/>
            <w:tcMar>
              <w:top w:type="dxa" w:w="90"/>
              <w:left w:type="dxa" w:w="80"/>
              <w:bottom w:type="dxa" w:w="90"/>
              <w:right w:type="dxa" w:w="80"/>
            </w:tcMar>
          </w:tcPr>
          <w:p>
            <w:pPr>
              <w:jc w:val="center"/>
            </w:pPr>
            <w:r>
              <w:rPr>
                <w:rFonts w:ascii="Arial" w:cs="Arial" w:eastAsia="Arial" w:hAnsi="Arial"/>
                <w:b/>
                <w:bCs/>
                <w:color w:val="C0392B"/>
                <w:sz w:val="16"/>
                <w:szCs w:val="16"/>
              </w:rPr>
              <w:t xml:space="preserve">Critical</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WhatsApp replaces booking infrastructure</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Nobody has bridged it</w:t>
            </w:r>
          </w:p>
        </w:tc>
        <w:tc>
          <w:tcPr>
            <w:tcW w:type="dxa" w:w="4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WhatsApp bot as a zero-friction onboarding layer. Meet businesses where they operate, migrate them gradually.</w:t>
            </w:r>
          </w:p>
        </w:tc>
        <w:tc>
          <w:tcPr>
            <w:tcW w:type="dxa" w:w="1440"/>
            <w:tcBorders>
              <w:top w:val="single" w:color="B2D8E0" w:sz="1"/>
              <w:left w:val="single" w:color="B2D8E0" w:sz="1"/>
              <w:bottom w:val="single" w:color="B2D8E0" w:sz="1"/>
              <w:right w:val="single" w:color="B2D8E0" w:sz="1"/>
            </w:tcBorders>
            <w:shd w:fill="FEF0E6" w:val="clear"/>
            <w:tcMar>
              <w:top w:type="dxa" w:w="90"/>
              <w:left w:type="dxa" w:w="80"/>
              <w:bottom w:type="dxa" w:w="90"/>
              <w:right w:type="dxa" w:w="80"/>
            </w:tcMar>
          </w:tcPr>
          <w:p>
            <w:pPr>
              <w:jc w:val="center"/>
            </w:pPr>
            <w:r>
              <w:rPr>
                <w:rFonts w:ascii="Arial" w:cs="Arial" w:eastAsia="Arial" w:hAnsi="Arial"/>
                <w:b/>
                <w:bCs/>
                <w:color w:val="E67E22"/>
                <w:sz w:val="16"/>
                <w:szCs w:val="16"/>
              </w:rPr>
              <w:t xml:space="preserve">High</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No no-show protection in Egypt</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Eat App (premium only), Fresha (UAE)</w:t>
            </w:r>
          </w:p>
        </w:tc>
        <w:tc>
          <w:tcPr>
            <w:tcW w:type="dxa" w:w="4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Deposit capture + card-on-file as a standard feature for every category. Market this as revenue protection.</w:t>
            </w:r>
          </w:p>
        </w:tc>
        <w:tc>
          <w:tcPr>
            <w:tcW w:type="dxa" w:w="1440"/>
            <w:tcBorders>
              <w:top w:val="single" w:color="B2D8E0" w:sz="1"/>
              <w:left w:val="single" w:color="B2D8E0" w:sz="1"/>
              <w:bottom w:val="single" w:color="B2D8E0" w:sz="1"/>
              <w:right w:val="single" w:color="B2D8E0" w:sz="1"/>
            </w:tcBorders>
            <w:shd w:fill="FEF0E6" w:val="clear"/>
            <w:tcMar>
              <w:top w:type="dxa" w:w="90"/>
              <w:left w:type="dxa" w:w="80"/>
              <w:bottom w:type="dxa" w:w="90"/>
              <w:right w:type="dxa" w:w="80"/>
            </w:tcMar>
          </w:tcPr>
          <w:p>
            <w:pPr>
              <w:jc w:val="center"/>
            </w:pPr>
            <w:r>
              <w:rPr>
                <w:rFonts w:ascii="Arial" w:cs="Arial" w:eastAsia="Arial" w:hAnsi="Arial"/>
                <w:b/>
                <w:bCs/>
                <w:color w:val="E67E22"/>
                <w:sz w:val="16"/>
                <w:szCs w:val="16"/>
              </w:rPr>
              <w:t xml:space="preserve">High</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No social layer for sports bookings</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Playtomic (not in Egypt)</w:t>
            </w:r>
          </w:p>
        </w:tc>
        <w:tc>
          <w:tcPr>
            <w:tcW w:type="dxa" w:w="4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Squad creation, player matching, court sharing. Turn solo bookings into community events.</w:t>
            </w:r>
          </w:p>
        </w:tc>
        <w:tc>
          <w:tcPr>
            <w:tcW w:type="dxa" w:w="1440"/>
            <w:tcBorders>
              <w:top w:val="single" w:color="B2D8E0" w:sz="1"/>
              <w:left w:val="single" w:color="B2D8E0" w:sz="1"/>
              <w:bottom w:val="single" w:color="B2D8E0" w:sz="1"/>
              <w:right w:val="single" w:color="B2D8E0" w:sz="1"/>
            </w:tcBorders>
            <w:shd w:fill="FEF0E6" w:val="clear"/>
            <w:tcMar>
              <w:top w:type="dxa" w:w="90"/>
              <w:left w:type="dxa" w:w="80"/>
              <w:bottom w:type="dxa" w:w="90"/>
              <w:right w:type="dxa" w:w="80"/>
            </w:tcMar>
          </w:tcPr>
          <w:p>
            <w:pPr>
              <w:jc w:val="center"/>
            </w:pPr>
            <w:r>
              <w:rPr>
                <w:rFonts w:ascii="Arial" w:cs="Arial" w:eastAsia="Arial" w:hAnsi="Arial"/>
                <w:b/>
                <w:bCs/>
                <w:color w:val="E67E22"/>
                <w:sz w:val="16"/>
                <w:szCs w:val="16"/>
              </w:rPr>
              <w:t xml:space="preserve">High</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No cross-category loyalty program</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Nobody globally</w:t>
            </w:r>
          </w:p>
        </w:tc>
        <w:tc>
          <w:tcPr>
            <w:tcW w:type="dxa" w:w="4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Points earned at restaurants, redeemable at salons or courts. Deepest consumer lock-in mechanism.</w:t>
            </w:r>
          </w:p>
        </w:tc>
        <w:tc>
          <w:tcPr>
            <w:tcW w:type="dxa" w:w="1440"/>
            <w:tcBorders>
              <w:top w:val="single" w:color="B2D8E0" w:sz="1"/>
              <w:left w:val="single" w:color="B2D8E0" w:sz="1"/>
              <w:bottom w:val="single" w:color="B2D8E0" w:sz="1"/>
              <w:right w:val="single" w:color="B2D8E0" w:sz="1"/>
            </w:tcBorders>
            <w:shd w:fill="FEF0E6" w:val="clear"/>
            <w:tcMar>
              <w:top w:type="dxa" w:w="90"/>
              <w:left w:type="dxa" w:w="80"/>
              <w:bottom w:type="dxa" w:w="90"/>
              <w:right w:type="dxa" w:w="80"/>
            </w:tcMar>
          </w:tcPr>
          <w:p>
            <w:pPr>
              <w:jc w:val="center"/>
            </w:pPr>
            <w:r>
              <w:rPr>
                <w:rFonts w:ascii="Arial" w:cs="Arial" w:eastAsia="Arial" w:hAnsi="Arial"/>
                <w:b/>
                <w:bCs/>
                <w:color w:val="E67E22"/>
                <w:sz w:val="16"/>
                <w:szCs w:val="16"/>
              </w:rPr>
              <w:t xml:space="preserve">High</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Eat App absent from Egypt restaurants</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Eat App is UAE/KSA only</w:t>
            </w:r>
          </w:p>
        </w:tc>
        <w:tc>
          <w:tcPr>
            <w:tcW w:type="dxa" w:w="4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SMB and mid-market Egyptian restaurants have zero digital reservation tools.</w:t>
            </w:r>
          </w:p>
        </w:tc>
        <w:tc>
          <w:tcPr>
            <w:tcW w:type="dxa" w:w="1440"/>
            <w:tcBorders>
              <w:top w:val="single" w:color="B2D8E0" w:sz="1"/>
              <w:left w:val="single" w:color="B2D8E0" w:sz="1"/>
              <w:bottom w:val="single" w:color="B2D8E0" w:sz="1"/>
              <w:right w:val="single" w:color="B2D8E0" w:sz="1"/>
            </w:tcBorders>
            <w:shd w:fill="FDECEA" w:val="clear"/>
            <w:tcMar>
              <w:top w:type="dxa" w:w="90"/>
              <w:left w:type="dxa" w:w="80"/>
              <w:bottom w:type="dxa" w:w="90"/>
              <w:right w:type="dxa" w:w="80"/>
            </w:tcMar>
          </w:tcPr>
          <w:p>
            <w:pPr>
              <w:jc w:val="center"/>
            </w:pPr>
            <w:r>
              <w:rPr>
                <w:rFonts w:ascii="Arial" w:cs="Arial" w:eastAsia="Arial" w:hAnsi="Arial"/>
                <w:b/>
                <w:bCs/>
                <w:color w:val="C0392B"/>
                <w:sz w:val="16"/>
                <w:szCs w:val="16"/>
              </w:rPr>
              <w:t xml:space="preserve">Critical</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InstaPay / local wallet integration</w:t>
            </w:r>
          </w:p>
        </w:tc>
        <w:tc>
          <w:tcPr>
            <w:tcW w:type="dxa" w:w="2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Nobody in reservation category</w:t>
            </w:r>
          </w:p>
        </w:tc>
        <w:tc>
          <w:tcPr>
            <w:tcW w:type="dxa" w:w="42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tcPr>
          <w:p>
            <w:r>
              <w:rPr>
                <w:rFonts w:ascii="Arial" w:cs="Arial" w:eastAsia="Arial" w:hAnsi="Arial"/>
                <w:color w:val="0D1B2A"/>
                <w:sz w:val="17"/>
                <w:szCs w:val="17"/>
              </w:rPr>
              <w:t xml:space="preserve">Native EGP payments with InstaPay, Fawry, Vodafone Cash — removing the last payment barrier.</w:t>
            </w:r>
          </w:p>
        </w:tc>
        <w:tc>
          <w:tcPr>
            <w:tcW w:type="dxa" w:w="1440"/>
            <w:tcBorders>
              <w:top w:val="single" w:color="B2D8E0" w:sz="1"/>
              <w:left w:val="single" w:color="B2D8E0" w:sz="1"/>
              <w:bottom w:val="single" w:color="B2D8E0" w:sz="1"/>
              <w:right w:val="single" w:color="B2D8E0" w:sz="1"/>
            </w:tcBorders>
            <w:shd w:fill="FEF0E6" w:val="clear"/>
            <w:tcMar>
              <w:top w:type="dxa" w:w="90"/>
              <w:left w:type="dxa" w:w="80"/>
              <w:bottom w:type="dxa" w:w="90"/>
              <w:right w:type="dxa" w:w="80"/>
            </w:tcMar>
          </w:tcPr>
          <w:p>
            <w:pPr>
              <w:jc w:val="center"/>
            </w:pPr>
            <w:r>
              <w:rPr>
                <w:rFonts w:ascii="Arial" w:cs="Arial" w:eastAsia="Arial" w:hAnsi="Arial"/>
                <w:b/>
                <w:bCs/>
                <w:color w:val="E67E22"/>
                <w:sz w:val="16"/>
                <w:szCs w:val="16"/>
              </w:rPr>
              <w:t xml:space="preserve">High</w:t>
            </w:r>
          </w:p>
        </w:tc>
      </w:tr>
      <w:tr>
        <w:tc>
          <w:tcPr>
            <w:tcW w:type="dxa" w:w="26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tcPr>
          <w:p>
            <w:r>
              <w:rPr>
                <w:rFonts w:ascii="Arial" w:cs="Arial" w:eastAsia="Arial" w:hAnsi="Arial"/>
                <w:b/>
                <w:bCs/>
                <w:color w:val="1B4F72"/>
                <w:sz w:val="18"/>
                <w:szCs w:val="18"/>
              </w:rPr>
              <w:t xml:space="preserve">Prop-tech data layer absent</w:t>
            </w:r>
          </w:p>
        </w:tc>
        <w:tc>
          <w:tcPr>
            <w:tcW w:type="dxa" w:w="2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Nobody</w:t>
            </w:r>
          </w:p>
        </w:tc>
        <w:tc>
          <w:tcPr>
            <w:tcW w:type="dxa" w:w="42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tcPr>
          <w:p>
            <w:r>
              <w:rPr>
                <w:rFonts w:ascii="Arial" w:cs="Arial" w:eastAsia="Arial" w:hAnsi="Arial"/>
                <w:color w:val="0D1B2A"/>
                <w:sz w:val="17"/>
                <w:szCs w:val="17"/>
              </w:rPr>
              <w:t xml:space="preserve">Booking density and demand heat maps sold to ODH/Beltone KEE-type developers for investment decisions.</w:t>
            </w:r>
          </w:p>
        </w:tc>
        <w:tc>
          <w:tcPr>
            <w:tcW w:type="dxa" w:w="1440"/>
            <w:tcBorders>
              <w:top w:val="single" w:color="B2D8E0" w:sz="1"/>
              <w:left w:val="single" w:color="B2D8E0" w:sz="1"/>
              <w:bottom w:val="single" w:color="B2D8E0" w:sz="1"/>
              <w:right w:val="single" w:color="B2D8E0" w:sz="1"/>
            </w:tcBorders>
            <w:shd w:fill="FEFBD8" w:val="clear"/>
            <w:tcMar>
              <w:top w:type="dxa" w:w="90"/>
              <w:left w:type="dxa" w:w="80"/>
              <w:bottom w:type="dxa" w:w="90"/>
              <w:right w:type="dxa" w:w="80"/>
            </w:tcMar>
          </w:tcPr>
          <w:p>
            <w:pPr>
              <w:jc w:val="center"/>
            </w:pPr>
            <w:r>
              <w:rPr>
                <w:rFonts w:ascii="Arial" w:cs="Arial" w:eastAsia="Arial" w:hAnsi="Arial"/>
                <w:b/>
                <w:bCs/>
                <w:color w:val="D4AC0D"/>
                <w:sz w:val="16"/>
                <w:szCs w:val="16"/>
              </w:rPr>
              <w:t xml:space="preserve">Medium</w:t>
            </w:r>
          </w:p>
        </w:tc>
      </w:tr>
    </w:tbl>
    <w:p>
      <w:pPr>
        <w:spacing w:before="0" w:after="200"/>
      </w:pPr>
    </w:p>
    <w:p>
      <w:r>
        <w:br w:type="page"/>
      </w:r>
    </w:p>
    <w:p>
      <w:pPr>
        <w:pStyle w:val="Heading1"/>
        <w:pBdr>
          <w:bottom w:val="single" w:color="0E8FA0" w:sz="10" w:space="8"/>
        </w:pBdr>
        <w:spacing w:before="400" w:after="160"/>
      </w:pPr>
      <w:r>
        <w:rPr>
          <w:rFonts w:ascii="Arial" w:cs="Arial" w:eastAsia="Arial" w:hAnsi="Arial"/>
          <w:b/>
          <w:bCs/>
          <w:color w:val="0D1B2A"/>
          <w:sz w:val="32"/>
          <w:szCs w:val="32"/>
        </w:rPr>
        <w:t xml:space="preserve">5. Competitive Positioning Summary</w:t>
      </w:r>
    </w:p>
    <w:p>
      <w:pPr>
        <w:pStyle w:val="Heading2"/>
        <w:spacing w:before="300" w:after="120"/>
      </w:pPr>
      <w:r>
        <w:rPr>
          <w:rFonts w:ascii="Arial" w:cs="Arial" w:eastAsia="Arial" w:hAnsi="Arial"/>
          <w:b/>
          <w:bCs/>
          <w:color w:val="1B4F72"/>
          <w:sz w:val="26"/>
          <w:szCs w:val="26"/>
        </w:rPr>
        <w:t xml:space="preserve">5.1  Positioning Statement</w:t>
      </w:r>
    </w:p>
    <w:p>
      <w:pPr>
        <w:pBdr>
          <w:left w:val="single" w:color="0E8FA0" w:sz="20" w:space="12"/>
        </w:pBdr>
        <w:shd w:fill="D6EEF2" w:color="auto" w:val="clear"/>
        <w:spacing w:before="100" w:after="160"/>
        <w:ind w:left="360"/>
      </w:pPr>
      <w:r>
        <w:rPr>
          <w:rFonts w:ascii="Arial" w:cs="Arial" w:eastAsia="Arial" w:hAnsi="Arial"/>
          <w:b/>
          <w:bCs/>
          <w:i/>
          <w:iCs/>
          <w:color w:val="0D1B2A"/>
          <w:sz w:val="21"/>
          <w:szCs w:val="21"/>
        </w:rPr>
        <w:t xml:space="preserve">The only Arabic-native, multi-category lifestyle reservation platform built for Egypt and the MENA SMB market — combining the depth of Eat App's restaurant intelligence, Fresha's salon workflow, and Playtomic's social sports layer, in a single unified experience with local payment rails and no-show protection.</w:t>
      </w:r>
    </w:p>
    <w:p>
      <w:pPr>
        <w:pStyle w:val="Heading2"/>
        <w:spacing w:before="300" w:after="120"/>
      </w:pPr>
      <w:r>
        <w:rPr>
          <w:rFonts w:ascii="Arial" w:cs="Arial" w:eastAsia="Arial" w:hAnsi="Arial"/>
          <w:b/>
          <w:bCs/>
          <w:color w:val="1B4F72"/>
          <w:sz w:val="26"/>
          <w:szCs w:val="26"/>
        </w:rPr>
        <w:t xml:space="preserve">5.2  Moat Architecture</w:t>
      </w:r>
    </w:p>
    <w:p>
      <w:pPr>
        <w:spacing w:before="60" w:after="100"/>
      </w:pPr>
      <w:r>
        <w:rPr>
          <w:rFonts w:ascii="Arial" w:cs="Arial" w:eastAsia="Arial" w:hAnsi="Arial"/>
          <w:color w:val="0D1B2A"/>
          <w:sz w:val="20"/>
          <w:szCs w:val="20"/>
        </w:rPr>
        <w:t xml:space="preserve">Your sustainable competitive advantages, ordered by durability:</w:t>
      </w:r>
    </w:p>
    <w:p>
      <w:pPr>
        <w:pStyle w:val="ListParagraph"/>
        <w:numPr>
          <w:ilvl w:val="0"/>
          <w:numId w:val="2"/>
        </w:numPr>
        <w:spacing w:before="40" w:after="60"/>
      </w:pPr>
      <w:r>
        <w:rPr>
          <w:rFonts w:ascii="Arial" w:cs="Arial" w:eastAsia="Arial" w:hAnsi="Arial"/>
          <w:b/>
          <w:bCs/>
          <w:color w:val="0E8FA0"/>
          <w:sz w:val="20"/>
          <w:szCs w:val="20"/>
        </w:rPr>
        <w:t xml:space="preserve">1. </w:t>
      </w:r>
      <w:r>
        <w:rPr>
          <w:rFonts w:ascii="Arial" w:cs="Arial" w:eastAsia="Arial" w:hAnsi="Arial"/>
          <w:color w:val="0D1B2A"/>
          <w:sz w:val="20"/>
          <w:szCs w:val="20"/>
        </w:rPr>
        <w:t xml:space="preserve">Geographic network density — the more businesses per district are on the platform, the harder it is for a competitor to enter that district without matching your supply.</w:t>
      </w:r>
    </w:p>
    <w:p>
      <w:pPr>
        <w:pStyle w:val="ListParagraph"/>
        <w:numPr>
          <w:ilvl w:val="0"/>
          <w:numId w:val="2"/>
        </w:numPr>
        <w:spacing w:before="40" w:after="60"/>
      </w:pPr>
      <w:r>
        <w:rPr>
          <w:rFonts w:ascii="Arial" w:cs="Arial" w:eastAsia="Arial" w:hAnsi="Arial"/>
          <w:b/>
          <w:bCs/>
          <w:color w:val="0E8FA0"/>
          <w:sz w:val="20"/>
          <w:szCs w:val="20"/>
        </w:rPr>
        <w:t xml:space="preserve">2. </w:t>
      </w:r>
      <w:r>
        <w:rPr>
          <w:rFonts w:ascii="Arial" w:cs="Arial" w:eastAsia="Arial" w:hAnsi="Arial"/>
          <w:color w:val="0D1B2A"/>
          <w:sz w:val="20"/>
          <w:szCs w:val="20"/>
        </w:rPr>
        <w:t xml:space="preserve">Cross-category loyalty currency — points earned across restaurants, salons, and courts create switching costs that no single-category competitor can replicate.</w:t>
      </w:r>
    </w:p>
    <w:p>
      <w:pPr>
        <w:pStyle w:val="ListParagraph"/>
        <w:numPr>
          <w:ilvl w:val="0"/>
          <w:numId w:val="2"/>
        </w:numPr>
        <w:spacing w:before="40" w:after="60"/>
      </w:pPr>
      <w:r>
        <w:rPr>
          <w:rFonts w:ascii="Arial" w:cs="Arial" w:eastAsia="Arial" w:hAnsi="Arial"/>
          <w:b/>
          <w:bCs/>
          <w:color w:val="0E8FA0"/>
          <w:sz w:val="20"/>
          <w:szCs w:val="20"/>
        </w:rPr>
        <w:t xml:space="preserve">3. </w:t>
      </w:r>
      <w:r>
        <w:rPr>
          <w:rFonts w:ascii="Arial" w:cs="Arial" w:eastAsia="Arial" w:hAnsi="Arial"/>
          <w:color w:val="0D1B2A"/>
          <w:sz w:val="20"/>
          <w:szCs w:val="20"/>
        </w:rPr>
        <w:t xml:space="preserve">Business CRM lock-in — 12+ months of booking history, guest profiles, and revenue analytics make migration extremely costly for business owners.</w:t>
      </w:r>
    </w:p>
    <w:p>
      <w:pPr>
        <w:pStyle w:val="ListParagraph"/>
        <w:numPr>
          <w:ilvl w:val="0"/>
          <w:numId w:val="2"/>
        </w:numPr>
        <w:spacing w:before="40" w:after="60"/>
      </w:pPr>
      <w:r>
        <w:rPr>
          <w:rFonts w:ascii="Arial" w:cs="Arial" w:eastAsia="Arial" w:hAnsi="Arial"/>
          <w:b/>
          <w:bCs/>
          <w:color w:val="0E8FA0"/>
          <w:sz w:val="20"/>
          <w:szCs w:val="20"/>
        </w:rPr>
        <w:t xml:space="preserve">4. </w:t>
      </w:r>
      <w:r>
        <w:rPr>
          <w:rFonts w:ascii="Arial" w:cs="Arial" w:eastAsia="Arial" w:hAnsi="Arial"/>
          <w:color w:val="0D1B2A"/>
          <w:sz w:val="20"/>
          <w:szCs w:val="20"/>
        </w:rPr>
        <w:t xml:space="preserve">Dynamic pricing intelligence — demand data accumulates with every booking. Your pricing recommendations improve over time. New entrants start blind.</w:t>
      </w:r>
    </w:p>
    <w:p>
      <w:pPr>
        <w:pStyle w:val="ListParagraph"/>
        <w:numPr>
          <w:ilvl w:val="0"/>
          <w:numId w:val="2"/>
        </w:numPr>
        <w:spacing w:before="40" w:after="60"/>
      </w:pPr>
      <w:r>
        <w:rPr>
          <w:rFonts w:ascii="Arial" w:cs="Arial" w:eastAsia="Arial" w:hAnsi="Arial"/>
          <w:b/>
          <w:bCs/>
          <w:color w:val="0E8FA0"/>
          <w:sz w:val="20"/>
          <w:szCs w:val="20"/>
        </w:rPr>
        <w:t xml:space="preserve">5. </w:t>
      </w:r>
      <w:r>
        <w:rPr>
          <w:rFonts w:ascii="Arial" w:cs="Arial" w:eastAsia="Arial" w:hAnsi="Arial"/>
          <w:color w:val="0D1B2A"/>
          <w:sz w:val="20"/>
          <w:szCs w:val="20"/>
        </w:rPr>
        <w:t xml:space="preserve">WhatsApp-native onboarding — building the bridge from WhatsApp bookings to the platform creates an asymmetric adoption advantage over foreign platforms that ignore this behavior.</w:t>
      </w:r>
    </w:p>
    <w:p>
      <w:pPr>
        <w:pStyle w:val="ListParagraph"/>
        <w:numPr>
          <w:ilvl w:val="0"/>
          <w:numId w:val="2"/>
        </w:numPr>
        <w:spacing w:before="40" w:after="60"/>
      </w:pPr>
      <w:r>
        <w:rPr>
          <w:rFonts w:ascii="Arial" w:cs="Arial" w:eastAsia="Arial" w:hAnsi="Arial"/>
          <w:b/>
          <w:bCs/>
          <w:color w:val="0E8FA0"/>
          <w:sz w:val="20"/>
          <w:szCs w:val="20"/>
        </w:rPr>
        <w:t xml:space="preserve">6. </w:t>
      </w:r>
      <w:r>
        <w:rPr>
          <w:rFonts w:ascii="Arial" w:cs="Arial" w:eastAsia="Arial" w:hAnsi="Arial"/>
          <w:color w:val="0D1B2A"/>
          <w:sz w:val="20"/>
          <w:szCs w:val="20"/>
        </w:rPr>
        <w:t xml:space="preserve">Local payment stack — InstaPay, Fawry, and Vodafone Cash integration creates a technical barrier for international players entering Egypt.</w:t>
      </w:r>
    </w:p>
    <w:p>
      <w:pPr>
        <w:spacing w:before="0" w:after="160"/>
      </w:pPr>
    </w:p>
    <w:p>
      <w:pPr>
        <w:pStyle w:val="Heading2"/>
        <w:spacing w:before="300" w:after="120"/>
      </w:pPr>
      <w:r>
        <w:rPr>
          <w:rFonts w:ascii="Arial" w:cs="Arial" w:eastAsia="Arial" w:hAnsi="Arial"/>
          <w:b/>
          <w:bCs/>
          <w:color w:val="1B4F72"/>
          <w:sz w:val="26"/>
          <w:szCs w:val="26"/>
        </w:rPr>
        <w:t xml:space="preserve">5.3  Competitive Watch List</w:t>
      </w:r>
    </w:p>
    <w:p>
      <w:pPr>
        <w:spacing w:before="60" w:after="100"/>
      </w:pPr>
      <w:r>
        <w:rPr>
          <w:rFonts w:ascii="Arial" w:cs="Arial" w:eastAsia="Arial" w:hAnsi="Arial"/>
          <w:color w:val="0D1B2A"/>
          <w:sz w:val="20"/>
          <w:szCs w:val="20"/>
        </w:rPr>
        <w:t xml:space="preserve">Monitor these scenarios as early warning signals requiring strategic response: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4240"/>
      </w:tblGrid>
      <w:tr>
        <w:tc>
          <w:tcPr>
            <w:tcW w:type="dxa" w:w="24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Competitor</w:t>
            </w:r>
          </w:p>
        </w:tc>
        <w:tc>
          <w:tcPr>
            <w:tcW w:type="dxa" w:w="380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to Watch</w:t>
            </w:r>
          </w:p>
        </w:tc>
        <w:tc>
          <w:tcPr>
            <w:tcW w:type="dxa" w:w="4240"/>
            <w:tcBorders>
              <w:top w:val="single" w:color="B2D8E0" w:sz="1"/>
              <w:left w:val="single" w:color="B2D8E0" w:sz="1"/>
              <w:bottom w:val="single" w:color="B2D8E0" w:sz="1"/>
              <w:right w:val="single" w:color="B2D8E0"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Response Playbook</w:t>
            </w:r>
          </w:p>
        </w:tc>
      </w:tr>
      <w:tr>
        <w:tc>
          <w:tcPr>
            <w:tcW w:type="dxa" w:w="24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Fresha</w:t>
            </w:r>
          </w:p>
        </w:tc>
        <w:tc>
          <w:tcPr>
            <w:tcW w:type="dxa" w:w="38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Cairo or Alexandria salon count listed on Fresha marketplace surpasses 50</w:t>
            </w:r>
          </w:p>
        </w:tc>
        <w:tc>
          <w:tcPr>
            <w:tcW w:type="dxa" w:w="42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Accelerate salon category depth. Launch 'switch from Fresha' campaign. Offer 6-month fee waiver for migrating businesses.</w:t>
            </w:r>
          </w:p>
        </w:tc>
      </w:tr>
      <w:tr>
        <w:tc>
          <w:tcPr>
            <w:tcW w:type="dxa" w:w="24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r>
              <w:rPr>
                <w:rFonts w:ascii="Arial" w:cs="Arial" w:eastAsia="Arial" w:hAnsi="Arial"/>
                <w:b/>
                <w:bCs/>
                <w:color w:val="1B4F72"/>
                <w:sz w:val="18"/>
                <w:szCs w:val="18"/>
              </w:rPr>
              <w:t xml:space="preserve">Eat App</w:t>
            </w:r>
          </w:p>
        </w:tc>
        <w:tc>
          <w:tcPr>
            <w:tcW w:type="dxa" w:w="38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Eat App announces Egypt market entry or partnership with Egyptian F&amp;B group</w:t>
            </w:r>
          </w:p>
        </w:tc>
        <w:tc>
          <w:tcPr>
            <w:tcW w:type="dxa" w:w="424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Immediately lock in the top 200 Cairo restaurants via exclusive 12-month agreements. Compete on price — Eat App's enterprise pricing is its weakness.</w:t>
            </w:r>
          </w:p>
        </w:tc>
      </w:tr>
      <w:tr>
        <w:tc>
          <w:tcPr>
            <w:tcW w:type="dxa" w:w="2400"/>
            <w:tcBorders>
              <w:top w:val="single" w:color="B2D8E0" w:sz="1"/>
              <w:left w:val="single" w:color="B2D8E0" w:sz="1"/>
              <w:bottom w:val="single" w:color="B2D8E0" w:sz="1"/>
              <w:right w:val="single" w:color="B2D8E0" w:sz="1"/>
            </w:tcBorders>
            <w:shd w:fill="EBF5FB" w:val="clear"/>
            <w:tcMar>
              <w:top w:type="dxa" w:w="90"/>
              <w:left w:type="dxa" w:w="130"/>
              <w:bottom w:type="dxa" w:w="90"/>
              <w:right w:type="dxa" w:w="130"/>
            </w:tcMar>
            <w:vAlign w:val="center"/>
          </w:tcPr>
          <w:p>
            <w:r>
              <w:rPr>
                <w:rFonts w:ascii="Arial" w:cs="Arial" w:eastAsia="Arial" w:hAnsi="Arial"/>
                <w:b/>
                <w:bCs/>
                <w:color w:val="1B4F72"/>
                <w:sz w:val="18"/>
                <w:szCs w:val="18"/>
              </w:rPr>
              <w:t xml:space="preserve">Courty.io</w:t>
            </w:r>
          </w:p>
        </w:tc>
        <w:tc>
          <w:tcPr>
            <w:tcW w:type="dxa" w:w="380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Courty raises Series A or announces multi-category expansion</w:t>
            </w:r>
          </w:p>
        </w:tc>
        <w:tc>
          <w:tcPr>
            <w:tcW w:type="dxa" w:w="4240"/>
            <w:tcBorders>
              <w:top w:val="single" w:color="B2D8E0" w:sz="1"/>
              <w:left w:val="single" w:color="B2D8E0" w:sz="1"/>
              <w:bottom w:val="single" w:color="B2D8E0" w:sz="1"/>
              <w:right w:val="single" w:color="B2D8E0" w:sz="1"/>
            </w:tcBorders>
            <w:shd w:fill="FFFFFF"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Explore acqui-hire or strategic partnership to absorb their court supply network. Alternatively, outspend on court onboarding in their top markets.</w:t>
            </w:r>
          </w:p>
        </w:tc>
      </w:tr>
      <w:tr>
        <w:tc>
          <w:tcPr>
            <w:tcW w:type="dxa" w:w="24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r>
              <w:rPr>
                <w:rFonts w:ascii="Arial" w:cs="Arial" w:eastAsia="Arial" w:hAnsi="Arial"/>
                <w:b/>
                <w:bCs/>
                <w:color w:val="1B4F72"/>
                <w:sz w:val="18"/>
                <w:szCs w:val="18"/>
              </w:rPr>
              <w:t xml:space="preserve">Regional Tech Giant</w:t>
            </w:r>
          </w:p>
        </w:tc>
        <w:tc>
          <w:tcPr>
            <w:tcW w:type="dxa" w:w="380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Careem, Noon, or Jahez announces a lifestyle booking vertical in Egypt</w:t>
            </w:r>
          </w:p>
        </w:tc>
        <w:tc>
          <w:tcPr>
            <w:tcW w:type="dxa" w:w="4240"/>
            <w:tcBorders>
              <w:top w:val="single" w:color="B2D8E0" w:sz="1"/>
              <w:left w:val="single" w:color="B2D8E0" w:sz="1"/>
              <w:bottom w:val="single" w:color="B2D8E0" w:sz="1"/>
              <w:right w:val="single" w:color="B2D8E0" w:sz="1"/>
            </w:tcBorders>
            <w:shd w:fill="F4FAFB" w:val="clear"/>
            <w:tcMar>
              <w:top w:type="dxa" w:w="90"/>
              <w:left w:type="dxa" w:w="130"/>
              <w:bottom w:type="dxa" w:w="90"/>
              <w:right w:type="dxa" w:w="130"/>
            </w:tcMar>
            <w:vAlign w:val="center"/>
          </w:tcPr>
          <w:p>
            <w:pPr>
              <w:jc w:val="left"/>
            </w:pPr>
            <w:r>
              <w:rPr>
                <w:rFonts w:ascii="Arial" w:cs="Arial" w:eastAsia="Arial" w:hAnsi="Arial"/>
                <w:color w:val="0D1B2A"/>
                <w:sz w:val="18"/>
                <w:szCs w:val="18"/>
              </w:rPr>
              <w:t xml:space="preserve">Focus on depth over breadth. A superapp booking tab will be generic. Your tailored journeys, Arabic-first CRM, and dynamic pricing are the defensible differentiators.</w:t>
            </w:r>
          </w:p>
        </w:tc>
      </w:tr>
    </w:tbl>
    <w:p>
      <w:pPr>
        <w:spacing w:before="0" w:after="300"/>
      </w:pPr>
    </w:p>
    <w:sectPr>
      <w:headerReference w:type="default" r:id="rId6"/>
      <w:footerReference w:type="default" r:id="rId7"/>
      <w:pgSz w:w="12240" w:h="15840" w:orient="portrait"/>
      <w:pgMar w:top="1200" w:right="900" w:bottom="12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8E0" w:sz="4" w:space="6"/>
      </w:pBdr>
      <w:tabs>
        <w:tab w:val="right" w:pos="9026"/>
      </w:tabs>
    </w:pPr>
    <w:r>
      <w:rPr>
        <w:rFonts w:ascii="Arial" w:cs="Arial" w:eastAsia="Arial" w:hAnsi="Arial"/>
        <w:color w:val="717D7E"/>
        <w:sz w:val="16"/>
        <w:szCs w:val="16"/>
      </w:rPr>
      <w:t xml:space="preserve">Confidential  |  March 2026</w:t>
    </w:r>
    <w:r>
      <w:rPr>
        <w:rFonts w:ascii="Arial" w:cs="Arial" w:eastAsia="Arial" w:hAnsi="Arial"/>
        <w:color w:val="717D7E"/>
        <w:sz w:val="16"/>
        <w:szCs w:val="16"/>
      </w:rPr>
      <w:t xml:space="preserve">	Page </w:t>
    </w:r>
    <w:r>
      <w:rPr>
        <w:rFonts w:ascii="Arial" w:cs="Arial" w:eastAsia="Arial" w:hAnsi="Arial"/>
        <w:color w:val="0D1B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8FA0" w:sz="6" w:space="6"/>
      </w:pBdr>
      <w:tabs>
        <w:tab w:val="right" w:pos="9026"/>
      </w:tabs>
    </w:pPr>
    <w:r>
      <w:rPr>
        <w:rFonts w:ascii="Arial" w:cs="Arial" w:eastAsia="Arial" w:hAnsi="Arial"/>
        <w:b/>
        <w:bCs/>
        <w:color w:val="0D1B2A"/>
        <w:sz w:val="18"/>
        <w:szCs w:val="18"/>
      </w:rPr>
      <w:t xml:space="preserve">Super Reservation Platform</w:t>
    </w:r>
    <w:r>
      <w:rPr>
        <w:rFonts w:ascii="Arial" w:cs="Arial" w:eastAsia="Arial" w:hAnsi="Arial"/>
        <w:i/>
        <w:iCs/>
        <w:color w:val="717D7E"/>
        <w:sz w:val="16"/>
        <w:szCs w:val="16"/>
      </w:rPr>
      <w:t xml:space="preserve">	Competitive Analysis &amp; Feature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2026-03-25T07:00:23.548Z</dcterms:created>
  <dcterms:modified xsi:type="dcterms:W3CDTF">2026-03-25T07:00:23.549Z</dcterms:modified>
</cp:coreProperties>
</file>

<file path=docProps/custom.xml><?xml version="1.0" encoding="utf-8"?>
<Properties xmlns="http://schemas.openxmlformats.org/officeDocument/2006/custom-properties" xmlns:vt="http://schemas.openxmlformats.org/officeDocument/2006/docPropsVTypes"/>
</file>