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A1628" w:val="clear"/>
            <w:tcMar>
              <w:top w:type="dxa" w:w="600"/>
              <w:left w:type="dxa" w:w="600"/>
              <w:bottom w:type="dxa" w:w="600"/>
              <w:right w:type="dxa" w:w="600"/>
            </w:tcMar>
          </w:tcPr>
          <w:p>
            <w:pPr>
              <w:spacing w:before="0" w:after="80"/>
              <w:jc w:val="center"/>
            </w:pPr>
            <w:r>
              <w:rPr>
                <w:rFonts w:ascii="Arial" w:cs="Arial" w:eastAsia="Arial" w:hAnsi="Arial"/>
                <w:b/>
                <w:bCs/>
                <w:color w:val="FFFFFF"/>
                <w:sz w:val="48"/>
                <w:szCs w:val="48"/>
              </w:rPr>
              <w:t xml:space="preserve">SUPER RESERVATION PLATFORM</w:t>
            </w:r>
          </w:p>
          <w:p>
            <w:pPr>
              <w:pBdr>
                <w:bottom w:val="single" w:color="0D9488" w:sz="4" w:space="8"/>
              </w:pBdr>
              <w:spacing w:before="0" w:after="40"/>
              <w:jc w:val="center"/>
            </w:pPr>
            <w:r>
              <w:rPr>
                <w:rFonts w:ascii="Arial" w:cs="Arial" w:eastAsia="Arial" w:hAnsi="Arial"/>
                <w:color w:val="0A1628"/>
                <w:sz w:val="4"/>
                <w:szCs w:val="4"/>
              </w:rPr>
              <w:t xml:space="preserve"/>
            </w:r>
          </w:p>
          <w:p>
            <w:pPr>
              <w:spacing w:before="160" w:after="80"/>
              <w:jc w:val="center"/>
            </w:pPr>
            <w:r>
              <w:rPr>
                <w:rFonts w:ascii="Arial" w:cs="Arial" w:eastAsia="Arial" w:hAnsi="Arial"/>
                <w:b/>
                <w:bCs/>
                <w:color w:val="0D9488"/>
                <w:sz w:val="36"/>
                <w:szCs w:val="36"/>
              </w:rPr>
              <w:t xml:space="preserve">Go-To-Market Strategy</w:t>
            </w:r>
          </w:p>
          <w:p>
            <w:pPr>
              <w:spacing w:before="0" w:after="80"/>
              <w:jc w:val="center"/>
            </w:pPr>
            <w:r>
              <w:rPr>
                <w:rFonts w:ascii="Arial" w:cs="Arial" w:eastAsia="Arial" w:hAnsi="Arial"/>
                <w:i/>
                <w:iCs/>
                <w:color w:val="94A3B8"/>
                <w:sz w:val="24"/>
                <w:szCs w:val="24"/>
              </w:rPr>
              <w:t xml:space="preserve">Egypt  ·  Phase 1 Launch to MENA Scale</w:t>
            </w:r>
          </w:p>
          <w:p>
            <w:pPr>
              <w:spacing w:before="400" w:after="0"/>
              <w:jc w:val="center"/>
            </w:pPr>
            <w:r>
              <w:rPr>
                <w:rFonts w:ascii="Arial" w:cs="Arial" w:eastAsia="Arial" w:hAnsi="Arial"/>
                <w:color w:val="94A3B8"/>
                <w:sz w:val="18"/>
                <w:szCs w:val="18"/>
              </w:rPr>
              <w:t xml:space="preserve">March 2026  |  Confidential</w:t>
            </w:r>
          </w:p>
        </w:tc>
      </w:tr>
    </w:tbl>
    <w:p>
      <w:r>
        <w:br w:type="page"/>
      </w:r>
    </w:p>
    <w:p>
      <w:pPr>
        <w:sectPr>
          <w:pgSz w:w="12240" w:h="15840" w:orient="portrait"/>
          <w:pgMar w:top="900" w:right="900" w:bottom="900" w:left="900" w:header="708" w:footer="708" w:gutter="0"/>
          <w:pgNumType/>
          <w:docGrid w:linePitch="360"/>
        </w:sectPr>
      </w:pPr>
    </w:p>
    <w:p>
      <w:pPr>
        <w:pStyle w:val="Heading1"/>
        <w:pBdr>
          <w:bottom w:val="single" w:color="0D9488" w:sz="12" w:space="8"/>
        </w:pBdr>
        <w:spacing w:before="440" w:after="160"/>
      </w:pPr>
      <w:r>
        <w:rPr>
          <w:rFonts w:ascii="Arial" w:cs="Arial" w:eastAsia="Arial" w:hAnsi="Arial"/>
          <w:b/>
          <w:bCs/>
          <w:color w:val="0A1628"/>
          <w:sz w:val="32"/>
          <w:szCs w:val="32"/>
        </w:rPr>
        <w:t xml:space="preserve">1. GTM Strategy Overview</w:t>
      </w:r>
    </w:p>
    <w:p>
      <w:pPr>
        <w:pBdr>
          <w:left w:val="single" w:color="0D9488" w:sz="24" w:space="14"/>
        </w:pBdr>
        <w:shd w:fill="CCFBF1" w:color="auto" w:val="clear"/>
        <w:spacing w:before="120" w:after="160"/>
        <w:ind w:left="400" w:right="200"/>
      </w:pPr>
      <w:r>
        <w:rPr>
          <w:rFonts w:ascii="Arial" w:cs="Arial" w:eastAsia="Arial" w:hAnsi="Arial"/>
          <w:b/>
          <w:bCs/>
          <w:i/>
          <w:iCs/>
          <w:color w:val="0A1628"/>
          <w:sz w:val="21"/>
          <w:szCs w:val="21"/>
        </w:rPr>
        <w:t xml:space="preserve">This GTM strategy follows a supply-first, demand-follows model: seed the supply side (businesses) in dense geographic clusters, then ignite consumer demand with influencer-driven marketing. The flywheel spins when both sides are present in the same district.</w:t>
      </w:r>
    </w:p>
    <w:p>
      <w:pPr>
        <w:spacing w:before="60" w:after="100"/>
      </w:pPr>
      <w:r>
        <w:rPr>
          <w:rFonts w:ascii="Arial" w:cs="Arial" w:eastAsia="Arial" w:hAnsi="Arial"/>
          <w:color w:val="0A1628"/>
          <w:sz w:val="20"/>
          <w:szCs w:val="20"/>
        </w:rPr>
        <w:t xml:space="preserve">The strategy is structured across four motions that run sequentially but overlap in execution. Each motion builds the foundation for the next. Phase 1 is deliberately narrow — two categories, one city, four districts — to achieve the supply density that makes the consumer app worth opening.</w:t>
      </w:r>
    </w:p>
    <w:p>
      <w:pPr>
        <w:spacing w:before="8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120"/>
      </w:tblGrid>
      <w:tr>
        <w:tc>
          <w:tcPr>
            <w:tcW w:type="dxa" w:w="2080"/>
            <w:tcBorders>
              <w:top w:val="single" w:color="BAE6FD" w:sz="1"/>
              <w:left w:val="single" w:color="BAE6FD" w:sz="1"/>
              <w:bottom w:val="single" w:color="BAE6FD" w:sz="1"/>
              <w:right w:val="single" w:color="BAE6FD" w:sz="1"/>
            </w:tcBorders>
            <w:shd w:fill="0D948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GTM Motion</w:t>
            </w:r>
          </w:p>
        </w:tc>
        <w:tc>
          <w:tcPr>
            <w:tcW w:type="dxa" w:w="2080"/>
            <w:tcBorders>
              <w:top w:val="single" w:color="BAE6FD" w:sz="1"/>
              <w:left w:val="single" w:color="BAE6FD" w:sz="1"/>
              <w:bottom w:val="single" w:color="BAE6FD" w:sz="1"/>
              <w:right w:val="single" w:color="BAE6FD" w:sz="1"/>
            </w:tcBorders>
            <w:shd w:fill="0D948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Primary Target</w:t>
            </w:r>
          </w:p>
        </w:tc>
        <w:tc>
          <w:tcPr>
            <w:tcW w:type="dxa" w:w="2080"/>
            <w:tcBorders>
              <w:top w:val="single" w:color="BAE6FD" w:sz="1"/>
              <w:left w:val="single" w:color="BAE6FD" w:sz="1"/>
              <w:bottom w:val="single" w:color="BAE6FD" w:sz="1"/>
              <w:right w:val="single" w:color="BAE6FD" w:sz="1"/>
            </w:tcBorders>
            <w:shd w:fill="0D948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Channel</w:t>
            </w:r>
          </w:p>
        </w:tc>
        <w:tc>
          <w:tcPr>
            <w:tcW w:type="dxa" w:w="2080"/>
            <w:tcBorders>
              <w:top w:val="single" w:color="BAE6FD" w:sz="1"/>
              <w:left w:val="single" w:color="BAE6FD" w:sz="1"/>
              <w:bottom w:val="single" w:color="BAE6FD" w:sz="1"/>
              <w:right w:val="single" w:color="BAE6FD" w:sz="1"/>
            </w:tcBorders>
            <w:shd w:fill="0D948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Horizon</w:t>
            </w:r>
          </w:p>
        </w:tc>
        <w:tc>
          <w:tcPr>
            <w:tcW w:type="dxa" w:w="2120"/>
            <w:tcBorders>
              <w:top w:val="single" w:color="BAE6FD" w:sz="1"/>
              <w:left w:val="single" w:color="BAE6FD" w:sz="1"/>
              <w:bottom w:val="single" w:color="BAE6FD" w:sz="1"/>
              <w:right w:val="single" w:color="BAE6FD" w:sz="1"/>
            </w:tcBorders>
            <w:shd w:fill="0D948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Goal</w:t>
            </w:r>
          </w:p>
        </w:tc>
      </w:tr>
      <w:tr>
        <w:tc>
          <w:tcPr>
            <w:tcW w:type="dxa" w:w="2080"/>
            <w:tcBorders>
              <w:top w:val="single" w:color="BAE6FD" w:sz="1"/>
              <w:left w:val="single" w:color="BAE6FD" w:sz="1"/>
              <w:bottom w:val="single" w:color="BAE6FD" w:sz="1"/>
              <w:right w:val="single" w:color="BAE6FD" w:sz="1"/>
            </w:tcBorders>
            <w:shd w:fill="CCFBF1" w:val="clear"/>
            <w:tcMar>
              <w:top w:type="dxa" w:w="90"/>
              <w:left w:type="dxa" w:w="130"/>
              <w:bottom w:type="dxa" w:w="90"/>
              <w:right w:type="dxa" w:w="130"/>
            </w:tcMar>
            <w:vAlign w:val="center"/>
          </w:tcPr>
          <w:p>
            <w:r>
              <w:rPr>
                <w:rFonts w:ascii="Arial" w:cs="Arial" w:eastAsia="Arial" w:hAnsi="Arial"/>
                <w:b/>
                <w:bCs/>
                <w:color w:val="0D9488"/>
                <w:sz w:val="17"/>
                <w:szCs w:val="17"/>
              </w:rPr>
              <w:t xml:space="preserve">Supply-Led Launch</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Restaurant &amp; salon owners in New Cairo, Maadi, Zamalek</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Direct sales team + WhatsApp outreach</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0–6 months</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200 active businesses</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0D9488"/>
                <w:sz w:val="17"/>
                <w:szCs w:val="17"/>
              </w:rPr>
              <w:t xml:space="preserve">Demand Ignition</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Urban professionals 22–40 in Cairo compounds</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Influencers + meta ads + referral</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3–9 months</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50,000 consumer downloads</w:t>
            </w:r>
          </w:p>
        </w:tc>
      </w:tr>
      <w:tr>
        <w:tc>
          <w:tcPr>
            <w:tcW w:type="dxa" w:w="2080"/>
            <w:tcBorders>
              <w:top w:val="single" w:color="BAE6FD" w:sz="1"/>
              <w:left w:val="single" w:color="BAE6FD" w:sz="1"/>
              <w:bottom w:val="single" w:color="BAE6FD" w:sz="1"/>
              <w:right w:val="single" w:color="BAE6FD" w:sz="1"/>
            </w:tcBorders>
            <w:shd w:fill="CCFBF1" w:val="clear"/>
            <w:tcMar>
              <w:top w:type="dxa" w:w="90"/>
              <w:left w:type="dxa" w:w="130"/>
              <w:bottom w:type="dxa" w:w="90"/>
              <w:right w:type="dxa" w:w="130"/>
            </w:tcMar>
            <w:vAlign w:val="center"/>
          </w:tcPr>
          <w:p>
            <w:r>
              <w:rPr>
                <w:rFonts w:ascii="Arial" w:cs="Arial" w:eastAsia="Arial" w:hAnsi="Arial"/>
                <w:b/>
                <w:bCs/>
                <w:color w:val="0D9488"/>
                <w:sz w:val="17"/>
                <w:szCs w:val="17"/>
              </w:rPr>
              <w:t xml:space="preserve">Category Expansion</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Courts, gaming cafes, medical, car wash</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Vertical partnerships + PLG</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9–18 months</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1,500 active businesses</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0D9488"/>
                <w:sz w:val="17"/>
                <w:szCs w:val="17"/>
              </w:rPr>
              <w:t xml:space="preserve">Geographic Scale</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Alexandria, North Coast, KSA, UAE</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Channel partners + PR + paid</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18–36 months</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5,000 businesses / 500K users</w:t>
            </w:r>
          </w:p>
        </w:tc>
      </w:tr>
    </w:tbl>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2. Ideal Customer Profiles (ICP)</w:t>
      </w:r>
    </w:p>
    <w:p>
      <w:pPr>
        <w:pStyle w:val="Heading2"/>
        <w:spacing w:before="300" w:after="120"/>
      </w:pPr>
      <w:r>
        <w:rPr>
          <w:rFonts w:ascii="Arial" w:cs="Arial" w:eastAsia="Arial" w:hAnsi="Arial"/>
          <w:b/>
          <w:bCs/>
          <w:color w:val="1A4A7A"/>
          <w:sz w:val="26"/>
          <w:szCs w:val="26"/>
        </w:rPr>
        <w:t xml:space="preserve">2.1  Supply Side — Business ICPs</w:t>
      </w:r>
    </w:p>
    <w:p>
      <w:pPr>
        <w:spacing w:before="60" w:after="100"/>
      </w:pPr>
      <w:r>
        <w:rPr>
          <w:rFonts w:ascii="Arial" w:cs="Arial" w:eastAsia="Arial" w:hAnsi="Arial"/>
          <w:color w:val="0A1628"/>
          <w:sz w:val="20"/>
          <w:szCs w:val="20"/>
        </w:rPr>
        <w:t xml:space="preserve">Four primary business segments to target in Phase 1. Restaurants and salons are the entry wedge — highest booking frequency, most acute pain, fastest path to revenue.</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2840"/>
      </w:tblGrid>
      <w:tr>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Segment</w:t>
            </w:r>
          </w:p>
        </w:tc>
        <w:tc>
          <w:tcPr>
            <w:tcW w:type="dxa" w:w="26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Profile</w:t>
            </w:r>
          </w:p>
        </w:tc>
        <w:tc>
          <w:tcPr>
            <w:tcW w:type="dxa" w:w="28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Pain Points</w:t>
            </w:r>
          </w:p>
        </w:tc>
        <w:tc>
          <w:tcPr>
            <w:tcW w:type="dxa" w:w="28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Value Hook</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Tier 1 Restaurant</w:t>
            </w:r>
          </w:p>
        </w:tc>
        <w:tc>
          <w:tcPr>
            <w:tcW w:type="dxa" w:w="26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Mid-to-upscale dine-in, Cairo. 50–300 covers. Managing reservations via WhatsApp. 2–10 staff.</w:t>
            </w:r>
          </w:p>
        </w:tc>
        <w:tc>
          <w:tcPr>
            <w:tcW w:type="dxa" w:w="28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No-shows eating into Friday/weekend revenue. Manually confirming bookings on phone. No customer data. Staff overwhelmed at peak hours.</w:t>
            </w:r>
          </w:p>
        </w:tc>
        <w:tc>
          <w:tcPr>
            <w:tcW w:type="dxa" w:w="28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No-show protection via deposit capture. Automated confirmations. Guest CRM built from day 1.</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Hair &amp; Beauty Salon</w:t>
            </w:r>
          </w:p>
        </w:tc>
        <w:tc>
          <w:tcPr>
            <w:tcW w:type="dxa" w:w="26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Women's hair salon or mixed barber/salon. 2–8 chairs. Solo owner or small chain. High repeat customers.</w:t>
            </w:r>
          </w:p>
        </w:tc>
        <w:tc>
          <w:tcPr>
            <w:tcW w:type="dxa" w:w="28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Irregular no-shows destroying stylist utilization. No loyalty program. Losing repeat clients to competition. WhatsApp overflowing.</w:t>
            </w:r>
          </w:p>
        </w:tc>
        <w:tc>
          <w:tcPr>
            <w:tcW w:type="dxa" w:w="28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Stylist calendar with instant booking. Loyalty points for repeat clients. Automated reminders cut no-shows.</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Sports Court Owner</w:t>
            </w:r>
          </w:p>
        </w:tc>
        <w:tc>
          <w:tcPr>
            <w:tcW w:type="dxa" w:w="26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Padel, football 5, basketball court operator in compound or standalone. 2–10 courts. Peak hour bottlenecks.</w:t>
            </w:r>
          </w:p>
        </w:tc>
        <w:tc>
          <w:tcPr>
            <w:tcW w:type="dxa" w:w="28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Courts idle in off-peak hours. Peak slots fully booked through phone chaos. No way to fill last-minute cancellations. No player community.</w:t>
            </w:r>
          </w:p>
        </w:tc>
        <w:tc>
          <w:tcPr>
            <w:tcW w:type="dxa" w:w="28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Dynamic off-peak discounts fill idle courts. Squad booking &amp; player matching drives community. Revenue analytics by court.</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Gaming Cafe</w:t>
            </w:r>
          </w:p>
        </w:tc>
        <w:tc>
          <w:tcPr>
            <w:tcW w:type="dxa" w:w="26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10–60 station cafe in urban Egypt. PC/console/VR mix. Youth demographic 15–28. Compound or mall-based.</w:t>
            </w:r>
          </w:p>
        </w:tc>
        <w:tc>
          <w:tcPr>
            <w:tcW w:type="dxa" w:w="28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Walk-in queues on weekends. No visibility on station availability. No pre-booking revenue capture. No loyalty.</w:t>
            </w:r>
          </w:p>
        </w:tc>
        <w:tc>
          <w:tcPr>
            <w:tcW w:type="dxa" w:w="28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Station-type booking with pre-payment. Queue management dashboard. Loyalty points drive repeat visits.</w:t>
            </w:r>
          </w:p>
        </w:tc>
      </w:tr>
    </w:tbl>
    <w:p>
      <w:pPr>
        <w:spacing w:before="0" w:after="200"/>
      </w:pPr>
    </w:p>
    <w:p>
      <w:pPr>
        <w:pStyle w:val="Heading2"/>
        <w:spacing w:before="300" w:after="120"/>
      </w:pPr>
      <w:r>
        <w:rPr>
          <w:rFonts w:ascii="Arial" w:cs="Arial" w:eastAsia="Arial" w:hAnsi="Arial"/>
          <w:b/>
          <w:bCs/>
          <w:color w:val="1A4A7A"/>
          <w:sz w:val="26"/>
          <w:szCs w:val="26"/>
        </w:rPr>
        <w:t xml:space="preserve">2.2  Demand Side — Consumer Personas</w:t>
      </w:r>
    </w:p>
    <w:p>
      <w:pPr>
        <w:spacing w:before="60" w:after="100"/>
      </w:pPr>
      <w:r>
        <w:rPr>
          <w:rFonts w:ascii="Arial" w:cs="Arial" w:eastAsia="Arial" w:hAnsi="Arial"/>
          <w:color w:val="0A1628"/>
          <w:sz w:val="20"/>
          <w:szCs w:val="20"/>
        </w:rPr>
        <w:t xml:space="preserve">Four consumer personas that drive booking volume. The Cairo Pro and the Squad Organizer are the primary acquisition targets in Phase 1 — highest digital fluency, highest booking frequency.</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40"/>
        <w:gridCol w:w="2000"/>
        <w:gridCol w:w="2000"/>
      </w:tblGrid>
      <w:tr>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Persona</w:t>
            </w:r>
          </w:p>
        </w:tc>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Description</w:t>
            </w:r>
          </w:p>
        </w:tc>
        <w:tc>
          <w:tcPr>
            <w:tcW w:type="dxa" w:w="22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Booking Behavior</w:t>
            </w:r>
          </w:p>
        </w:tc>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Motivation</w:t>
            </w:r>
          </w:p>
        </w:tc>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Channels</w:t>
            </w:r>
          </w:p>
        </w:tc>
      </w:tr>
      <w:tr>
        <w:tc>
          <w:tcPr>
            <w:tcW w:type="dxa" w:w="20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The Cairo Pro</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25–38, compound resident, New Cairo / Sheikh Zayed. Works in corporate or startup. Smartphones for everything.</w:t>
            </w:r>
          </w:p>
        </w:tc>
        <w:tc>
          <w:tcPr>
            <w:tcW w:type="dxa" w:w="22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Books restaurants for occasions. Courts 2x/week. Salon every 2–3 weeks. Currently calls or uses WhatsApp.</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Convenience. Hates calling. Wants confirmation instantly.</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Instagram, TikTok, Google, referrals</w:t>
            </w:r>
          </w:p>
        </w:tc>
      </w:tr>
      <w:tr>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The Occasion Planner</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28–45, female-skewed. Plans birthday dinners, family outings, girls' nights. Detail-oriented.</w:t>
            </w:r>
          </w:p>
        </w:tc>
        <w:tc>
          <w:tcPr>
            <w:tcW w:type="dxa" w:w="22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Books 3–7 days ahead. High deposit tolerance for special occasions. Leaves reviews.</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Personalization. Wants occasion-aware booking (birthday setup, private section).</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Facebook, WhatsApp groups, word of mouth</w:t>
            </w:r>
          </w:p>
        </w:tc>
      </w:tr>
      <w:tr>
        <w:tc>
          <w:tcPr>
            <w:tcW w:type="dxa" w:w="20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The Squad Organizer</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20–32, male-skewed. Organizes weekly football matches or padel games. Group coordinator.</w:t>
            </w:r>
          </w:p>
        </w:tc>
        <w:tc>
          <w:tcPr>
            <w:tcW w:type="dxa" w:w="22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Books same court same time every week. Collects payments from friends. Frustrated by no group booking tools.</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One-click squad booking. Split payment. Recurring reservations.</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WhatsApp, TikTok, word of mouth</w:t>
            </w:r>
          </w:p>
        </w:tc>
      </w:tr>
      <w:tr>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The Beauty Regular</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22–40, urban female. Regular salon client. Strong stylist loyalty. Monthly spend on beauty services.</w:t>
            </w:r>
          </w:p>
        </w:tc>
        <w:tc>
          <w:tcPr>
            <w:tcW w:type="dxa" w:w="22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Books same stylist weekly or bi-weekly. Frustrated when preferred stylist is unavailable. Loves loyalty programs.</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Stylist preference. Loyalty rewards. Last-minute slot alerts.</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Instagram, TikTok, in-salon QR codes</w:t>
            </w:r>
          </w:p>
        </w:tc>
      </w:tr>
    </w:tbl>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3. Launch Phasing &amp; Milestones</w:t>
      </w:r>
    </w:p>
    <w:p>
      <w:pPr>
        <w:pBdr>
          <w:left w:val="single" w:color="166534" w:sz="24" w:space="14"/>
        </w:pBdr>
        <w:shd w:fill="DCFCE7" w:color="auto" w:val="clear"/>
        <w:spacing w:before="120" w:after="160"/>
        <w:ind w:left="400" w:right="200"/>
      </w:pPr>
      <w:r>
        <w:rPr>
          <w:rFonts w:ascii="Arial" w:cs="Arial" w:eastAsia="Arial" w:hAnsi="Arial"/>
          <w:b/>
          <w:bCs/>
          <w:i/>
          <w:iCs/>
          <w:color w:val="0A1628"/>
          <w:sz w:val="21"/>
          <w:szCs w:val="21"/>
        </w:rPr>
        <w:t xml:space="preserve">Start narrow and dense. 4 Cairo districts. 2 categories. The goal is not coverage — it is network density. A user in New Cairo must be able to book a restaurant, court, AND salon all within 5km before you expand anywhere else.</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40"/>
        <w:gridCol w:w="2200"/>
        <w:gridCol w:w="2200"/>
      </w:tblGrid>
      <w:tr>
        <w:tc>
          <w:tcPr>
            <w:tcW w:type="dxa" w:w="14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Phase</w:t>
            </w:r>
          </w:p>
        </w:tc>
        <w:tc>
          <w:tcPr>
            <w:tcW w:type="dxa" w:w="14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Timeline</w:t>
            </w:r>
          </w:p>
        </w:tc>
        <w:tc>
          <w:tcPr>
            <w:tcW w:type="dxa" w:w="32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Focus</w:t>
            </w:r>
          </w:p>
        </w:tc>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Supply Target</w:t>
            </w:r>
          </w:p>
        </w:tc>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Key Milestone</w:t>
            </w:r>
          </w:p>
        </w:tc>
      </w:tr>
      <w:tr>
        <w:tc>
          <w:tcPr>
            <w:tcW w:type="dxa" w:w="1400"/>
            <w:tcBorders>
              <w:top w:val="single" w:color="BAE6FD" w:sz="1"/>
              <w:left w:val="single" w:color="BAE6FD" w:sz="1"/>
              <w:bottom w:val="single" w:color="BAE6FD" w:sz="1"/>
              <w:right w:val="single" w:color="BAE6FD" w:sz="1"/>
            </w:tcBorders>
            <w:shd w:fill="DCFCE7" w:val="clear"/>
            <w:tcMar>
              <w:top w:type="dxa" w:w="90"/>
              <w:left w:type="dxa" w:w="130"/>
              <w:bottom w:type="dxa" w:w="90"/>
              <w:right w:type="dxa" w:w="130"/>
            </w:tcMar>
            <w:vAlign w:val="center"/>
          </w:tcPr>
          <w:p>
            <w:r>
              <w:rPr>
                <w:rFonts w:ascii="Arial" w:cs="Arial" w:eastAsia="Arial" w:hAnsi="Arial"/>
                <w:b/>
                <w:bCs/>
                <w:color w:val="166534"/>
                <w:sz w:val="17"/>
                <w:szCs w:val="17"/>
              </w:rPr>
              <w:t xml:space="preserve">Ignition</w:t>
            </w:r>
          </w:p>
        </w:tc>
        <w:tc>
          <w:tcPr>
            <w:tcW w:type="dxa" w:w="14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1–3</w:t>
            </w:r>
          </w:p>
        </w:tc>
        <w:tc>
          <w:tcPr>
            <w:tcW w:type="dxa" w:w="32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Pilot in 4 districts: New Cairo (5th Settlement), Maadi, Zamalek, Sheikh Zayed. Restaurants + salons only. White-glove onboarding — dedicate 2 account managers per district.</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50 restaurants, 50 salons</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First 1,000 successful consumer bookings</w:t>
            </w:r>
          </w:p>
        </w:tc>
      </w:tr>
      <w:tr>
        <w:tc>
          <w:tcPr>
            <w:tcW w:type="dxa" w:w="14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Validation</w:t>
            </w:r>
          </w:p>
        </w:tc>
        <w:tc>
          <w:tcPr>
            <w:tcW w:type="dxa" w:w="1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3–6</w:t>
            </w:r>
          </w:p>
        </w:tc>
        <w:tc>
          <w:tcPr>
            <w:tcW w:type="dxa" w:w="32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Prove the loop: business NPS &gt; 7, consumer repeat booking rate &gt; 35%, no-show rate &lt; 10%. Expand to 10 additional Cairo districts. Launch consumer app publicly.</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200 businesses total</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EGP 500K MRR (blended)</w:t>
            </w:r>
          </w:p>
        </w:tc>
      </w:tr>
      <w:tr>
        <w:tc>
          <w:tcPr>
            <w:tcW w:type="dxa" w:w="1400"/>
            <w:tcBorders>
              <w:top w:val="single" w:color="BAE6FD" w:sz="1"/>
              <w:left w:val="single" w:color="BAE6FD" w:sz="1"/>
              <w:bottom w:val="single" w:color="BAE6FD" w:sz="1"/>
              <w:right w:val="single" w:color="BAE6FD" w:sz="1"/>
            </w:tcBorders>
            <w:shd w:fill="FEF3C7" w:val="clear"/>
            <w:tcMar>
              <w:top w:type="dxa" w:w="90"/>
              <w:left w:type="dxa" w:w="130"/>
              <w:bottom w:type="dxa" w:w="90"/>
              <w:right w:type="dxa" w:w="130"/>
            </w:tcMar>
            <w:vAlign w:val="center"/>
          </w:tcPr>
          <w:p>
            <w:r>
              <w:rPr>
                <w:rFonts w:ascii="Arial" w:cs="Arial" w:eastAsia="Arial" w:hAnsi="Arial"/>
                <w:b/>
                <w:bCs/>
                <w:color w:val="92400E"/>
                <w:sz w:val="17"/>
                <w:szCs w:val="17"/>
              </w:rPr>
              <w:t xml:space="preserve">Expansion</w:t>
            </w:r>
          </w:p>
        </w:tc>
        <w:tc>
          <w:tcPr>
            <w:tcW w:type="dxa" w:w="14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6–12</w:t>
            </w:r>
          </w:p>
        </w:tc>
        <w:tc>
          <w:tcPr>
            <w:tcW w:type="dxa" w:w="32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Add courts, gaming cafes, car wash. Launch WhatsApp bot channel. Launch dynamic pricing. Begin Alexandria pilot. Activate marketplace discovery tab.</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600 businesses</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50,000 monthly active users</w:t>
            </w:r>
          </w:p>
        </w:tc>
      </w:tr>
      <w:tr>
        <w:tc>
          <w:tcPr>
            <w:tcW w:type="dxa" w:w="1400"/>
            <w:tcBorders>
              <w:top w:val="single" w:color="BAE6FD" w:sz="1"/>
              <w:left w:val="single" w:color="BAE6FD" w:sz="1"/>
              <w:bottom w:val="single" w:color="BAE6FD" w:sz="1"/>
              <w:right w:val="single" w:color="BAE6FD" w:sz="1"/>
            </w:tcBorders>
            <w:shd w:fill="EDE9FE" w:val="clear"/>
            <w:tcMar>
              <w:top w:type="dxa" w:w="90"/>
              <w:left w:type="dxa" w:w="130"/>
              <w:bottom w:type="dxa" w:w="90"/>
              <w:right w:type="dxa" w:w="130"/>
            </w:tcMar>
            <w:vAlign w:val="center"/>
          </w:tcPr>
          <w:p>
            <w:r>
              <w:rPr>
                <w:rFonts w:ascii="Arial" w:cs="Arial" w:eastAsia="Arial" w:hAnsi="Arial"/>
                <w:b/>
                <w:bCs/>
                <w:color w:val="5B21B6"/>
                <w:sz w:val="17"/>
                <w:szCs w:val="17"/>
              </w:rPr>
              <w:t xml:space="preserve">Monetization</w:t>
            </w:r>
          </w:p>
        </w:tc>
        <w:tc>
          <w:tcPr>
            <w:tcW w:type="dxa" w:w="1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12–18</w:t>
            </w:r>
          </w:p>
        </w:tc>
        <w:tc>
          <w:tcPr>
            <w:tcW w:type="dxa" w:w="32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Launch SaaS Growth and Pro tiers at full price. Featured listings go live. Begin enterprise outreach to hotel F&amp;B groups and chains. Add medical clinics.</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1,500 businesses</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EGP 3.5M MRR</w:t>
            </w:r>
          </w:p>
        </w:tc>
      </w:tr>
      <w:tr>
        <w:tc>
          <w:tcPr>
            <w:tcW w:type="dxa" w:w="1400"/>
            <w:tcBorders>
              <w:top w:val="single" w:color="BAE6FD" w:sz="1"/>
              <w:left w:val="single" w:color="BAE6FD" w:sz="1"/>
              <w:bottom w:val="single" w:color="BAE6FD" w:sz="1"/>
              <w:right w:val="single" w:color="BAE6FD" w:sz="1"/>
            </w:tcBorders>
            <w:shd w:fill="FFEDD5" w:val="clear"/>
            <w:tcMar>
              <w:top w:type="dxa" w:w="90"/>
              <w:left w:type="dxa" w:w="130"/>
              <w:bottom w:type="dxa" w:w="90"/>
              <w:right w:type="dxa" w:w="130"/>
            </w:tcMar>
            <w:vAlign w:val="center"/>
          </w:tcPr>
          <w:p>
            <w:r>
              <w:rPr>
                <w:rFonts w:ascii="Arial" w:cs="Arial" w:eastAsia="Arial" w:hAnsi="Arial"/>
                <w:b/>
                <w:bCs/>
                <w:color w:val="9A3412"/>
                <w:sz w:val="17"/>
                <w:szCs w:val="17"/>
              </w:rPr>
              <w:t xml:space="preserve">MENA Scale</w:t>
            </w:r>
          </w:p>
        </w:tc>
        <w:tc>
          <w:tcPr>
            <w:tcW w:type="dxa" w:w="14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18–36</w:t>
            </w:r>
          </w:p>
        </w:tc>
        <w:tc>
          <w:tcPr>
            <w:tcW w:type="dxa" w:w="32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Enter KSA and UAE. Localise for Gulf payment rails (Mada, Apple Pay). Build Arabic-first product for Gulf SMB market. Explore prop-tech data partnerships (ODH, Beltone KEE type clients).</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A3412"/>
                <w:sz w:val="17"/>
                <w:szCs w:val="17"/>
              </w:rPr>
              <w:t xml:space="preserve">5,000 businesses</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Series A fundraise</w:t>
            </w:r>
          </w:p>
        </w:tc>
      </w:tr>
    </w:tbl>
    <w:p>
      <w:pPr>
        <w:spacing w:before="0" w:after="160"/>
      </w:pPr>
    </w:p>
    <w:p>
      <w:pPr>
        <w:spacing w:before="200" w:after="80"/>
      </w:pPr>
      <w:r>
        <w:rPr>
          <w:rFonts w:ascii="Arial" w:cs="Arial" w:eastAsia="Arial" w:hAnsi="Arial"/>
          <w:b/>
          <w:bCs/>
          <w:color w:val="0D9488"/>
          <w:sz w:val="22"/>
          <w:szCs w:val="22"/>
        </w:rPr>
        <w:t xml:space="preserve">Geographic Sequencing — Cairo District Priority</w:t>
      </w:r>
    </w:p>
    <w:p>
      <w:pPr>
        <w:spacing w:before="60" w:after="100"/>
      </w:pPr>
      <w:r>
        <w:rPr>
          <w:rFonts w:ascii="Arial" w:cs="Arial" w:eastAsia="Arial" w:hAnsi="Arial"/>
          <w:color w:val="0A1628"/>
          <w:sz w:val="20"/>
          <w:szCs w:val="20"/>
        </w:rPr>
        <w:t xml:space="preserve">Phase 1 districts selected for highest density of target businesses, highest compound/compound-adjacent consumer concentration, and highest digital payment readiness:</w:t>
      </w:r>
    </w:p>
    <w:p>
      <w:pPr>
        <w:pStyle w:val="ListParagraph"/>
        <w:numPr>
          <w:ilvl w:val="0"/>
          <w:numId w:val="2"/>
        </w:numPr>
        <w:spacing w:before="40" w:after="60"/>
      </w:pPr>
      <w:r>
        <w:rPr>
          <w:rFonts w:ascii="Arial" w:cs="Arial" w:eastAsia="Arial" w:hAnsi="Arial"/>
          <w:b/>
          <w:bCs/>
          <w:color w:val="0D9488"/>
          <w:sz w:val="20"/>
          <w:szCs w:val="20"/>
        </w:rPr>
        <w:t xml:space="preserve">1. </w:t>
      </w:r>
      <w:r>
        <w:rPr>
          <w:rFonts w:ascii="Arial" w:cs="Arial" w:eastAsia="Arial" w:hAnsi="Arial"/>
          <w:color w:val="0A1628"/>
          <w:sz w:val="20"/>
          <w:szCs w:val="20"/>
        </w:rPr>
        <w:t xml:space="preserve">New Cairo (5th Settlement &amp; surrounding compounds) — highest density of padel courts, premium restaurants, and salons serving compound residents.</w:t>
      </w:r>
    </w:p>
    <w:p>
      <w:pPr>
        <w:pStyle w:val="ListParagraph"/>
        <w:numPr>
          <w:ilvl w:val="0"/>
          <w:numId w:val="2"/>
        </w:numPr>
        <w:spacing w:before="40" w:after="60"/>
      </w:pPr>
      <w:r>
        <w:rPr>
          <w:rFonts w:ascii="Arial" w:cs="Arial" w:eastAsia="Arial" w:hAnsi="Arial"/>
          <w:b/>
          <w:bCs/>
          <w:color w:val="0D9488"/>
          <w:sz w:val="20"/>
          <w:szCs w:val="20"/>
        </w:rPr>
        <w:t xml:space="preserve">2. </w:t>
      </w:r>
      <w:r>
        <w:rPr>
          <w:rFonts w:ascii="Arial" w:cs="Arial" w:eastAsia="Arial" w:hAnsi="Arial"/>
          <w:color w:val="0A1628"/>
          <w:sz w:val="20"/>
          <w:szCs w:val="20"/>
        </w:rPr>
        <w:t xml:space="preserve">Maadi — strong expat and upper-middle class concentration. High restaurant booking culture.</w:t>
      </w:r>
    </w:p>
    <w:p>
      <w:pPr>
        <w:pStyle w:val="ListParagraph"/>
        <w:numPr>
          <w:ilvl w:val="0"/>
          <w:numId w:val="2"/>
        </w:numPr>
        <w:spacing w:before="40" w:after="60"/>
      </w:pPr>
      <w:r>
        <w:rPr>
          <w:rFonts w:ascii="Arial" w:cs="Arial" w:eastAsia="Arial" w:hAnsi="Arial"/>
          <w:b/>
          <w:bCs/>
          <w:color w:val="0D9488"/>
          <w:sz w:val="20"/>
          <w:szCs w:val="20"/>
        </w:rPr>
        <w:t xml:space="preserve">3. </w:t>
      </w:r>
      <w:r>
        <w:rPr>
          <w:rFonts w:ascii="Arial" w:cs="Arial" w:eastAsia="Arial" w:hAnsi="Arial"/>
          <w:color w:val="0A1628"/>
          <w:sz w:val="20"/>
          <w:szCs w:val="20"/>
        </w:rPr>
        <w:t xml:space="preserve">Zamalek &amp; Gezira — highest concentration of fine dining and premium salons. Lower volume but highest AOV.</w:t>
      </w:r>
    </w:p>
    <w:p>
      <w:pPr>
        <w:pStyle w:val="ListParagraph"/>
        <w:numPr>
          <w:ilvl w:val="0"/>
          <w:numId w:val="2"/>
        </w:numPr>
        <w:spacing w:before="40" w:after="60"/>
      </w:pPr>
      <w:r>
        <w:rPr>
          <w:rFonts w:ascii="Arial" w:cs="Arial" w:eastAsia="Arial" w:hAnsi="Arial"/>
          <w:b/>
          <w:bCs/>
          <w:color w:val="0D9488"/>
          <w:sz w:val="20"/>
          <w:szCs w:val="20"/>
        </w:rPr>
        <w:t xml:space="preserve">4. </w:t>
      </w:r>
      <w:r>
        <w:rPr>
          <w:rFonts w:ascii="Arial" w:cs="Arial" w:eastAsia="Arial" w:hAnsi="Arial"/>
          <w:color w:val="0A1628"/>
          <w:sz w:val="20"/>
          <w:szCs w:val="20"/>
        </w:rPr>
        <w:t xml:space="preserve">Sheikh Zayed &amp; 6th October — fast-growing compound belt. Padel and sports court boom.</w:t>
      </w:r>
    </w:p>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4. Supply Acquisition Strategy</w:t>
      </w:r>
    </w:p>
    <w:p>
      <w:pPr>
        <w:spacing w:before="60" w:after="100"/>
      </w:pPr>
      <w:r>
        <w:rPr>
          <w:rFonts w:ascii="Arial" w:cs="Arial" w:eastAsia="Arial" w:hAnsi="Arial"/>
          <w:color w:val="0A1628"/>
          <w:sz w:val="20"/>
          <w:szCs w:val="20"/>
        </w:rPr>
        <w:t xml:space="preserve">Supply acquisition is the hardest and most important GTM challenge. No consumer will open the app if there are no businesses to book. The following six tactics are designed to build supply density in Phase 1 districts within 90 days.</w:t>
      </w:r>
    </w:p>
    <w:p>
      <w:pPr>
        <w:pStyle w:val="Heading2"/>
        <w:spacing w:before="300" w:after="120"/>
      </w:pPr>
      <w:r>
        <w:rPr>
          <w:rFonts w:ascii="Arial" w:cs="Arial" w:eastAsia="Arial" w:hAnsi="Arial"/>
          <w:b/>
          <w:bCs/>
          <w:color w:val="1A4A7A"/>
          <w:sz w:val="26"/>
          <w:szCs w:val="26"/>
        </w:rPr>
        <w:t xml:space="preserve">4.1  B2B Acquisition Tactics</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840"/>
      </w:tblGrid>
      <w:tr>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Tactic</w:t>
            </w:r>
          </w:p>
        </w:tc>
        <w:tc>
          <w:tcPr>
            <w:tcW w:type="dxa" w:w="3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Execution</w:t>
            </w:r>
          </w:p>
        </w:tc>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Cost Estimate</w:t>
            </w:r>
          </w:p>
        </w:tc>
        <w:tc>
          <w:tcPr>
            <w:tcW w:type="dxa" w:w="28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Expected Outcome</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District Sales Sprints</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2-person teams hit every restaurant and salon in a district over 2 weeks. Demo the product in person. Offer 3-month free Starter tier. Goal: 80% of visited businesses sign up.</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8,000 / district / sprint (salaries + transport)</w:t>
            </w:r>
          </w:p>
        </w:tc>
        <w:tc>
          <w:tcPr>
            <w:tcW w:type="dxa" w:w="28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40–60 businesses per district per sprint</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WhatsApp Onboarding Bot</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Build a WhatsApp Business bot that lets any business start accepting bookings in 10 minutes without leaving WhatsApp. Promote the bot number via stickers, QR codes, and Facebook ads targeted at business owners.</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25,000 one-time build cost</w:t>
            </w:r>
          </w:p>
        </w:tc>
        <w:tc>
          <w:tcPr>
            <w:tcW w:type="dxa" w:w="28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Low-friction entry for WhatsApp-native businesses. Converts to full dashboard over 30–60 days.</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Early Adopter Program</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First 100 businesses get: free Growth tier for 6 months, co-branded marketing materials (stickers, table cards, window clings), featured placement in the consumer app for 90 days.</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50,000 in subsidised subscriptions + materials</w:t>
            </w:r>
          </w:p>
        </w:tc>
        <w:tc>
          <w:tcPr>
            <w:tcW w:type="dxa" w:w="28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Creates visible presence in target districts. Generates social proof for subsequent sales.</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F&amp;B Association Partnerships</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Partner with Egyptian Food &amp; Hospitality Association, Cairo Chamber of Commerce, and compound management companies (e.g., Hyde Park, Mivida, Sodic). Get featured in their business owner newsletters and events.</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10,000–20,000 in partnership fees</w:t>
            </w:r>
          </w:p>
        </w:tc>
        <w:tc>
          <w:tcPr>
            <w:tcW w:type="dxa" w:w="28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Credibility signal. Access to concentrated lists of verified restaurant and business owners.</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Compound Management Deals</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Sign exclusive agreements with 3–5 large compound management companies in New Cairo and Sheikh Zayed to make the platform the default booking OS for all amenities within the compound (courts, restaurants, salons).</w:t>
            </w:r>
          </w:p>
        </w:tc>
        <w:tc>
          <w:tcPr>
            <w:tcW w:type="dxa" w:w="2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Revenue share arrangement — no upfront cost</w:t>
            </w:r>
          </w:p>
        </w:tc>
        <w:tc>
          <w:tcPr>
            <w:tcW w:type="dxa" w:w="28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Captive supply AND captive demand in one move. Compounds are self-contained markets.</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"No-Show Protection" Pitch</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Lead all sales conversations with one number: how much revenue the business is losing to no-shows monthly. Build a simple calculator. Turn their pain into the value prop — platform pays for itself in recovered revenue.</w:t>
            </w:r>
          </w:p>
        </w:tc>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Sales collateral cost only</w:t>
            </w:r>
          </w:p>
        </w:tc>
        <w:tc>
          <w:tcPr>
            <w:tcW w:type="dxa" w:w="28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Shortens sales cycle dramatically. Business owners understand ROI immediately.</w:t>
            </w:r>
          </w:p>
        </w:tc>
      </w:tr>
    </w:tbl>
    <w:p>
      <w:pPr>
        <w:spacing w:before="0" w:after="160"/>
      </w:pPr>
    </w:p>
    <w:p>
      <w:pPr>
        <w:pStyle w:val="Heading2"/>
        <w:spacing w:before="300" w:after="120"/>
      </w:pPr>
      <w:r>
        <w:rPr>
          <w:rFonts w:ascii="Arial" w:cs="Arial" w:eastAsia="Arial" w:hAnsi="Arial"/>
          <w:b/>
          <w:bCs/>
          <w:color w:val="1A4A7A"/>
          <w:sz w:val="26"/>
          <w:szCs w:val="26"/>
        </w:rPr>
        <w:t xml:space="preserve">4.2  Onboarding Journey — Business Owner</w:t>
      </w:r>
    </w:p>
    <w:p>
      <w:pPr>
        <w:spacing w:before="60" w:after="100"/>
      </w:pPr>
      <w:r>
        <w:rPr>
          <w:rFonts w:ascii="Arial" w:cs="Arial" w:eastAsia="Arial" w:hAnsi="Arial"/>
          <w:color w:val="0A1628"/>
          <w:sz w:val="20"/>
          <w:szCs w:val="20"/>
        </w:rPr>
        <w:t xml:space="preserve">The onboarding experience determines whether a business owner stays or churns in the first 30 days. The flow is designed for minimal friction and maximum time-to-value:</w:t>
      </w:r>
    </w:p>
    <w:p>
      <w:pPr>
        <w:pStyle w:val="ListParagraph"/>
        <w:numPr>
          <w:ilvl w:val="0"/>
          <w:numId w:val="2"/>
        </w:numPr>
        <w:spacing w:before="40" w:after="60"/>
      </w:pPr>
      <w:r>
        <w:rPr>
          <w:rFonts w:ascii="Arial" w:cs="Arial" w:eastAsia="Arial" w:hAnsi="Arial"/>
          <w:b/>
          <w:bCs/>
          <w:color w:val="0D9488"/>
          <w:sz w:val="20"/>
          <w:szCs w:val="20"/>
        </w:rPr>
        <w:t xml:space="preserve">Step 1 </w:t>
      </w:r>
      <w:r>
        <w:rPr>
          <w:rFonts w:ascii="Arial" w:cs="Arial" w:eastAsia="Arial" w:hAnsi="Arial"/>
          <w:color w:val="0A1628"/>
          <w:sz w:val="20"/>
          <w:szCs w:val="20"/>
        </w:rPr>
        <w:t xml:space="preserve">Day 1: Sign up via WhatsApp bot or web dashboard. Profile takes under 15 minutes. First booking slot published immediately.</w:t>
      </w:r>
    </w:p>
    <w:p>
      <w:pPr>
        <w:pStyle w:val="ListParagraph"/>
        <w:numPr>
          <w:ilvl w:val="0"/>
          <w:numId w:val="2"/>
        </w:numPr>
        <w:spacing w:before="40" w:after="60"/>
      </w:pPr>
      <w:r>
        <w:rPr>
          <w:rFonts w:ascii="Arial" w:cs="Arial" w:eastAsia="Arial" w:hAnsi="Arial"/>
          <w:b/>
          <w:bCs/>
          <w:color w:val="0D9488"/>
          <w:sz w:val="20"/>
          <w:szCs w:val="20"/>
        </w:rPr>
        <w:t xml:space="preserve">Step 2 </w:t>
      </w:r>
      <w:r>
        <w:rPr>
          <w:rFonts w:ascii="Arial" w:cs="Arial" w:eastAsia="Arial" w:hAnsi="Arial"/>
          <w:color w:val="0A1628"/>
          <w:sz w:val="20"/>
          <w:szCs w:val="20"/>
        </w:rPr>
        <w:t xml:space="preserve">Day 2: Automated WhatsApp message with 'Your first booking is 3 taps away' — links to a short Loom video in Arabic walking through the dashboard.</w:t>
      </w:r>
    </w:p>
    <w:p>
      <w:pPr>
        <w:pStyle w:val="ListParagraph"/>
        <w:numPr>
          <w:ilvl w:val="0"/>
          <w:numId w:val="2"/>
        </w:numPr>
        <w:spacing w:before="40" w:after="60"/>
      </w:pPr>
      <w:r>
        <w:rPr>
          <w:rFonts w:ascii="Arial" w:cs="Arial" w:eastAsia="Arial" w:hAnsi="Arial"/>
          <w:b/>
          <w:bCs/>
          <w:color w:val="0D9488"/>
          <w:sz w:val="20"/>
          <w:szCs w:val="20"/>
        </w:rPr>
        <w:t xml:space="preserve">Step 3 </w:t>
      </w:r>
      <w:r>
        <w:rPr>
          <w:rFonts w:ascii="Arial" w:cs="Arial" w:eastAsia="Arial" w:hAnsi="Arial"/>
          <w:color w:val="0A1628"/>
          <w:sz w:val="20"/>
          <w:szCs w:val="20"/>
        </w:rPr>
        <w:t xml:space="preserve">Day 7: Dedicated account manager check-in call. Reviews first week's data. Helps set up no-show protection and deposit rules.</w:t>
      </w:r>
    </w:p>
    <w:p>
      <w:pPr>
        <w:pStyle w:val="ListParagraph"/>
        <w:numPr>
          <w:ilvl w:val="0"/>
          <w:numId w:val="2"/>
        </w:numPr>
        <w:spacing w:before="40" w:after="60"/>
      </w:pPr>
      <w:r>
        <w:rPr>
          <w:rFonts w:ascii="Arial" w:cs="Arial" w:eastAsia="Arial" w:hAnsi="Arial"/>
          <w:b/>
          <w:bCs/>
          <w:color w:val="0D9488"/>
          <w:sz w:val="20"/>
          <w:szCs w:val="20"/>
        </w:rPr>
        <w:t xml:space="preserve">Step 4 </w:t>
      </w:r>
      <w:r>
        <w:rPr>
          <w:rFonts w:ascii="Arial" w:cs="Arial" w:eastAsia="Arial" w:hAnsi="Arial"/>
          <w:color w:val="0A1628"/>
          <w:sz w:val="20"/>
          <w:szCs w:val="20"/>
        </w:rPr>
        <w:t xml:space="preserve">Day 14: First report delivered showing bookings, no-shows prevented, and revenue protected. This is the retention anchor.</w:t>
      </w:r>
    </w:p>
    <w:p>
      <w:pPr>
        <w:pStyle w:val="ListParagraph"/>
        <w:numPr>
          <w:ilvl w:val="0"/>
          <w:numId w:val="2"/>
        </w:numPr>
        <w:spacing w:before="40" w:after="60"/>
      </w:pPr>
      <w:r>
        <w:rPr>
          <w:rFonts w:ascii="Arial" w:cs="Arial" w:eastAsia="Arial" w:hAnsi="Arial"/>
          <w:b/>
          <w:bCs/>
          <w:color w:val="0D9488"/>
          <w:sz w:val="20"/>
          <w:szCs w:val="20"/>
        </w:rPr>
        <w:t xml:space="preserve">Step 5 </w:t>
      </w:r>
      <w:r>
        <w:rPr>
          <w:rFonts w:ascii="Arial" w:cs="Arial" w:eastAsia="Arial" w:hAnsi="Arial"/>
          <w:color w:val="0A1628"/>
          <w:sz w:val="20"/>
          <w:szCs w:val="20"/>
        </w:rPr>
        <w:t xml:space="preserve">Day 30: Upgrade prompt to Growth tier with feature unlock (loyalty tools, SMS campaigns, multi-staff calendar). Offer 30% discount for annual commitment.</w:t>
      </w:r>
    </w:p>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5. Consumer Demand Acquisition</w:t>
      </w:r>
    </w:p>
    <w:p>
      <w:pPr>
        <w:pBdr>
          <w:left w:val="single" w:color="92400E" w:sz="24" w:space="14"/>
        </w:pBdr>
        <w:shd w:fill="FEF3C7" w:color="auto" w:val="clear"/>
        <w:spacing w:before="120" w:after="160"/>
        <w:ind w:left="400" w:right="200"/>
      </w:pPr>
      <w:r>
        <w:rPr>
          <w:rFonts w:ascii="Arial" w:cs="Arial" w:eastAsia="Arial" w:hAnsi="Arial"/>
          <w:b/>
          <w:bCs/>
          <w:i/>
          <w:iCs/>
          <w:color w:val="0A1628"/>
          <w:sz w:val="21"/>
          <w:szCs w:val="21"/>
        </w:rPr>
        <w:t xml:space="preserve">In Egypt, trust is built via social proof — not advertising. The highest-ROI consumer acquisition channel is not Meta ads; it is a food influencer filming themselves booking a table in 10 seconds and posting it to 2 million followers.</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920"/>
        <w:gridCol w:w="1600"/>
        <w:gridCol w:w="1720"/>
      </w:tblGrid>
      <w:tr>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Channel</w:t>
            </w:r>
          </w:p>
        </w:tc>
        <w:tc>
          <w:tcPr>
            <w:tcW w:type="dxa" w:w="3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Tactic</w:t>
            </w:r>
          </w:p>
        </w:tc>
        <w:tc>
          <w:tcPr>
            <w:tcW w:type="dxa" w:w="192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Budget/Month</w:t>
            </w:r>
          </w:p>
        </w:tc>
        <w:tc>
          <w:tcPr>
            <w:tcW w:type="dxa" w:w="172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Target KPI</w:t>
            </w:r>
          </w:p>
        </w:tc>
      </w:tr>
      <w:tr>
        <w:tc>
          <w:tcPr>
            <w:tcW w:type="dxa" w:w="2000"/>
            <w:tcBorders>
              <w:top w:val="single" w:color="BAE6FD" w:sz="1"/>
              <w:left w:val="single" w:color="BAE6FD" w:sz="1"/>
              <w:bottom w:val="single" w:color="BAE6FD" w:sz="1"/>
              <w:right w:val="single" w:color="BAE6FD" w:sz="1"/>
            </w:tcBorders>
            <w:shd w:fill="CCFBF1" w:val="clear"/>
            <w:tcMar>
              <w:top w:type="dxa" w:w="90"/>
              <w:left w:type="dxa" w:w="130"/>
              <w:bottom w:type="dxa" w:w="90"/>
              <w:right w:type="dxa" w:w="130"/>
            </w:tcMar>
            <w:vAlign w:val="center"/>
          </w:tcPr>
          <w:p>
            <w:r>
              <w:rPr>
                <w:rFonts w:ascii="Arial" w:cs="Arial" w:eastAsia="Arial" w:hAnsi="Arial"/>
                <w:b/>
                <w:bCs/>
                <w:color w:val="0D9488"/>
                <w:sz w:val="17"/>
                <w:szCs w:val="17"/>
              </w:rPr>
              <w:t xml:space="preserve">Micro-Influencers</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Partner with 20–30 Egyptian food, lifestyle, and sports micro-influencers (50K–500K followers). Key profiles: Mon3esh (5M followers), Abaza (2M), CairoSpots. Offer booking credits + rev share per confirmed booking from their link. Not paid posts — performance-based.</w:t>
            </w:r>
          </w:p>
        </w:tc>
        <w:tc>
          <w:tcPr>
            <w:tcW w:type="dxa" w:w="19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2–12</w:t>
            </w:r>
          </w:p>
        </w:tc>
        <w:tc>
          <w:tcPr>
            <w:tcW w:type="dxa" w:w="16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30,000</w:t>
            </w:r>
          </w:p>
        </w:tc>
        <w:tc>
          <w:tcPr>
            <w:tcW w:type="dxa" w:w="17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5,000 downloads / month</w:t>
            </w:r>
          </w:p>
        </w:tc>
      </w:tr>
      <w:tr>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0D9488"/>
                <w:sz w:val="17"/>
                <w:szCs w:val="17"/>
              </w:rPr>
              <w:t xml:space="preserve">Meta Ads (Instagram/Facebook)</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Geo-targeted to New Cairo, Maadi, Zamalek. Audience: 22–42, interests in dining, fitness, beauty. Creative: split-test 'book your Friday table in 30 seconds' vs 'no more WhatsApp chaos'. Arabic-first copy.</w:t>
            </w:r>
          </w:p>
        </w:tc>
        <w:tc>
          <w:tcPr>
            <w:tcW w:type="dxa" w:w="19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3–ongoing</w:t>
            </w:r>
          </w:p>
        </w:tc>
        <w:tc>
          <w:tcPr>
            <w:tcW w:type="dxa" w:w="16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25,000</w:t>
            </w:r>
          </w:p>
        </w:tc>
        <w:tc>
          <w:tcPr>
            <w:tcW w:type="dxa" w:w="17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EGP 15–25 CPI</w:t>
            </w:r>
          </w:p>
        </w:tc>
      </w:tr>
      <w:tr>
        <w:tc>
          <w:tcPr>
            <w:tcW w:type="dxa" w:w="2000"/>
            <w:tcBorders>
              <w:top w:val="single" w:color="BAE6FD" w:sz="1"/>
              <w:left w:val="single" w:color="BAE6FD" w:sz="1"/>
              <w:bottom w:val="single" w:color="BAE6FD" w:sz="1"/>
              <w:right w:val="single" w:color="BAE6FD" w:sz="1"/>
            </w:tcBorders>
            <w:shd w:fill="CCFBF1" w:val="clear"/>
            <w:tcMar>
              <w:top w:type="dxa" w:w="90"/>
              <w:left w:type="dxa" w:w="130"/>
              <w:bottom w:type="dxa" w:w="90"/>
              <w:right w:type="dxa" w:w="130"/>
            </w:tcMar>
            <w:vAlign w:val="center"/>
          </w:tcPr>
          <w:p>
            <w:r>
              <w:rPr>
                <w:rFonts w:ascii="Arial" w:cs="Arial" w:eastAsia="Arial" w:hAnsi="Arial"/>
                <w:b/>
                <w:bCs/>
                <w:color w:val="0D9488"/>
                <w:sz w:val="17"/>
                <w:szCs w:val="17"/>
              </w:rPr>
              <w:t xml:space="preserve">TikTok Content</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Organic content strategy: behind-the-scenes at partner restaurants, 'book in 10 seconds' demos, 'before vs after' (WhatsApp chaos vs. the platform). Post 4x/week. Lean into trending sounds. Arabic-first. Partner with TikTok creators for duets and challenges.</w:t>
            </w:r>
          </w:p>
        </w:tc>
        <w:tc>
          <w:tcPr>
            <w:tcW w:type="dxa" w:w="19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1–ongoing</w:t>
            </w:r>
          </w:p>
        </w:tc>
        <w:tc>
          <w:tcPr>
            <w:tcW w:type="dxa" w:w="16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15,000 (content production)</w:t>
            </w:r>
          </w:p>
        </w:tc>
        <w:tc>
          <w:tcPr>
            <w:tcW w:type="dxa" w:w="17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500K video views / month by month 6</w:t>
            </w:r>
          </w:p>
        </w:tc>
      </w:tr>
      <w:tr>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0D9488"/>
                <w:sz w:val="17"/>
                <w:szCs w:val="17"/>
              </w:rPr>
              <w:t xml:space="preserve">Referral Program</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Consumer referral: refer a friend, both get EGP 50 booking credit. Business referral: refer a business that activates, get 2 months free Growth tier. Tracked via unique referral links in-app and via WhatsApp share card.</w:t>
            </w:r>
          </w:p>
        </w:tc>
        <w:tc>
          <w:tcPr>
            <w:tcW w:type="dxa" w:w="19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3–ongoing</w:t>
            </w:r>
          </w:p>
        </w:tc>
        <w:tc>
          <w:tcPr>
            <w:tcW w:type="dxa" w:w="16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10,000 (credits float)</w:t>
            </w:r>
          </w:p>
        </w:tc>
        <w:tc>
          <w:tcPr>
            <w:tcW w:type="dxa" w:w="17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25% of new users from referral by month 6</w:t>
            </w:r>
          </w:p>
        </w:tc>
      </w:tr>
      <w:tr>
        <w:tc>
          <w:tcPr>
            <w:tcW w:type="dxa" w:w="2000"/>
            <w:tcBorders>
              <w:top w:val="single" w:color="BAE6FD" w:sz="1"/>
              <w:left w:val="single" w:color="BAE6FD" w:sz="1"/>
              <w:bottom w:val="single" w:color="BAE6FD" w:sz="1"/>
              <w:right w:val="single" w:color="BAE6FD" w:sz="1"/>
            </w:tcBorders>
            <w:shd w:fill="CCFBF1" w:val="clear"/>
            <w:tcMar>
              <w:top w:type="dxa" w:w="90"/>
              <w:left w:type="dxa" w:w="130"/>
              <w:bottom w:type="dxa" w:w="90"/>
              <w:right w:type="dxa" w:w="130"/>
            </w:tcMar>
            <w:vAlign w:val="center"/>
          </w:tcPr>
          <w:p>
            <w:r>
              <w:rPr>
                <w:rFonts w:ascii="Arial" w:cs="Arial" w:eastAsia="Arial" w:hAnsi="Arial"/>
                <w:b/>
                <w:bCs/>
                <w:color w:val="0D9488"/>
                <w:sz w:val="17"/>
                <w:szCs w:val="17"/>
              </w:rPr>
              <w:t xml:space="preserve">Google Search (SEO + SEM)</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Target high-intent queries: 'book restaurant cairo', 'حجز مطعم القاهرة', 'padel court booking', 'salon appointment online egypt'. On-page SEO for every business profile page. Arabic schema markup. SEM budget for bottom-of-funnel terms.</w:t>
            </w:r>
          </w:p>
        </w:tc>
        <w:tc>
          <w:tcPr>
            <w:tcW w:type="dxa" w:w="19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2–ongoing</w:t>
            </w:r>
          </w:p>
        </w:tc>
        <w:tc>
          <w:tcPr>
            <w:tcW w:type="dxa" w:w="16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20,000</w:t>
            </w:r>
          </w:p>
        </w:tc>
        <w:tc>
          <w:tcPr>
            <w:tcW w:type="dxa" w:w="17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15% of installs from organic search by month 9</w:t>
            </w:r>
          </w:p>
        </w:tc>
      </w:tr>
      <w:tr>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0D9488"/>
                <w:sz w:val="17"/>
                <w:szCs w:val="17"/>
              </w:rPr>
              <w:t xml:space="preserve">WhatsApp Viral Loop</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Every booking confirmation includes a beautifully designed WhatsApp-shareable card: 'I just booked [restaurant name] for Friday — 3 spots left, join me'. This is the single most important organic growth mechanism in Egypt's WhatsApp-dominant social culture.</w:t>
            </w:r>
          </w:p>
        </w:tc>
        <w:tc>
          <w:tcPr>
            <w:tcW w:type="dxa" w:w="19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1–ongoing</w:t>
            </w:r>
          </w:p>
        </w:tc>
        <w:tc>
          <w:tcPr>
            <w:tcW w:type="dxa" w:w="16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Integrated — no extra cost</w:t>
            </w:r>
          </w:p>
        </w:tc>
        <w:tc>
          <w:tcPr>
            <w:tcW w:type="dxa" w:w="17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15–25% of bookings generate a share</w:t>
            </w:r>
          </w:p>
        </w:tc>
      </w:tr>
      <w:tr>
        <w:tc>
          <w:tcPr>
            <w:tcW w:type="dxa" w:w="2000"/>
            <w:tcBorders>
              <w:top w:val="single" w:color="BAE6FD" w:sz="1"/>
              <w:left w:val="single" w:color="BAE6FD" w:sz="1"/>
              <w:bottom w:val="single" w:color="BAE6FD" w:sz="1"/>
              <w:right w:val="single" w:color="BAE6FD" w:sz="1"/>
            </w:tcBorders>
            <w:shd w:fill="CCFBF1" w:val="clear"/>
            <w:tcMar>
              <w:top w:type="dxa" w:w="90"/>
              <w:left w:type="dxa" w:w="130"/>
              <w:bottom w:type="dxa" w:w="90"/>
              <w:right w:type="dxa" w:w="130"/>
            </w:tcMar>
            <w:vAlign w:val="center"/>
          </w:tcPr>
          <w:p>
            <w:r>
              <w:rPr>
                <w:rFonts w:ascii="Arial" w:cs="Arial" w:eastAsia="Arial" w:hAnsi="Arial"/>
                <w:b/>
                <w:bCs/>
                <w:color w:val="0D9488"/>
                <w:sz w:val="17"/>
                <w:szCs w:val="17"/>
              </w:rPr>
              <w:t xml:space="preserve">In-Business QR Codes</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Every onboarded business gets printed QR code table cards, window stickers, and receipt stamps pointing to their booking profile. Captures in-venue consumers at the moment of peak brand affinity.</w:t>
            </w:r>
          </w:p>
        </w:tc>
        <w:tc>
          <w:tcPr>
            <w:tcW w:type="dxa" w:w="19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Month 1–ongoing</w:t>
            </w:r>
          </w:p>
        </w:tc>
        <w:tc>
          <w:tcPr>
            <w:tcW w:type="dxa" w:w="16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EGP 5,000 (print materials)</w:t>
            </w:r>
          </w:p>
        </w:tc>
        <w:tc>
          <w:tcPr>
            <w:tcW w:type="dxa" w:w="17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10–15% of existing customers re-book digitally within 30 days</w:t>
            </w:r>
          </w:p>
        </w:tc>
      </w:tr>
    </w:tbl>
    <w:p>
      <w:pPr>
        <w:spacing w:before="0" w:after="160"/>
      </w:pPr>
    </w:p>
    <w:p>
      <w:pPr>
        <w:pStyle w:val="Heading2"/>
        <w:spacing w:before="300" w:after="120"/>
      </w:pPr>
      <w:r>
        <w:rPr>
          <w:rFonts w:ascii="Arial" w:cs="Arial" w:eastAsia="Arial" w:hAnsi="Arial"/>
          <w:b/>
          <w:bCs/>
          <w:color w:val="1A4A7A"/>
          <w:sz w:val="26"/>
          <w:szCs w:val="26"/>
        </w:rPr>
        <w:t xml:space="preserve">5.1  The Egypt-Specific Acquisition Playbook</w:t>
      </w:r>
    </w:p>
    <w:p>
      <w:pPr>
        <w:spacing w:before="200" w:after="80"/>
      </w:pPr>
      <w:r>
        <w:rPr>
          <w:rFonts w:ascii="Arial" w:cs="Arial" w:eastAsia="Arial" w:hAnsi="Arial"/>
          <w:b/>
          <w:bCs/>
          <w:color w:val="0D9488"/>
          <w:sz w:val="22"/>
          <w:szCs w:val="22"/>
        </w:rPr>
        <w:t xml:space="preserve">Influencer Tier Strategy</w:t>
      </w:r>
    </w:p>
    <w:p>
      <w:pPr>
        <w:spacing w:before="60" w:after="100"/>
      </w:pPr>
      <w:r>
        <w:rPr>
          <w:rFonts w:ascii="Arial" w:cs="Arial" w:eastAsia="Arial" w:hAnsi="Arial"/>
          <w:color w:val="0A1628"/>
          <w:sz w:val="20"/>
          <w:szCs w:val="20"/>
        </w:rPr>
        <w:t xml:space="preserve">Three-tier influencer architecture for maximum reach and authenticity:</w:t>
      </w:r>
    </w:p>
    <w:p>
      <w:pPr>
        <w:pStyle w:val="ListParagraph"/>
        <w:numPr>
          <w:ilvl w:val="0"/>
          <w:numId w:val="2"/>
        </w:numPr>
        <w:spacing w:before="40" w:after="60"/>
      </w:pPr>
      <w:r>
        <w:rPr>
          <w:rFonts w:ascii="Arial" w:cs="Arial" w:eastAsia="Arial" w:hAnsi="Arial"/>
          <w:b/>
          <w:bCs/>
          <w:color w:val="0D9488"/>
          <w:sz w:val="20"/>
          <w:szCs w:val="20"/>
        </w:rPr>
        <w:t xml:space="preserve">Macro </w:t>
      </w:r>
      <w:r>
        <w:rPr>
          <w:rFonts w:ascii="Arial" w:cs="Arial" w:eastAsia="Arial" w:hAnsi="Arial"/>
          <w:color w:val="0A1628"/>
          <w:sz w:val="20"/>
          <w:szCs w:val="20"/>
        </w:rPr>
        <w:t xml:space="preserve">Tier 1 — Macro (1M+ followers): Mon3esh, Abaza, CairoSpots. For brand awareness and launch moments only. 2–3 activations per year. Not ongoing.</w:t>
      </w:r>
    </w:p>
    <w:p>
      <w:pPr>
        <w:pStyle w:val="ListParagraph"/>
        <w:numPr>
          <w:ilvl w:val="0"/>
          <w:numId w:val="2"/>
        </w:numPr>
        <w:spacing w:before="40" w:after="60"/>
      </w:pPr>
      <w:r>
        <w:rPr>
          <w:rFonts w:ascii="Arial" w:cs="Arial" w:eastAsia="Arial" w:hAnsi="Arial"/>
          <w:b/>
          <w:bCs/>
          <w:color w:val="0D9488"/>
          <w:sz w:val="20"/>
          <w:szCs w:val="20"/>
        </w:rPr>
        <w:t xml:space="preserve">Mid </w:t>
      </w:r>
      <w:r>
        <w:rPr>
          <w:rFonts w:ascii="Arial" w:cs="Arial" w:eastAsia="Arial" w:hAnsi="Arial"/>
          <w:color w:val="0A1628"/>
          <w:sz w:val="20"/>
          <w:szCs w:val="20"/>
        </w:rPr>
        <w:t xml:space="preserve">Tier 2 — Mid (100K–1M): 8–10 food/lifestyle/sports creators. Monthly content. Performance-based (EGP 20 credit per install from their link).</w:t>
      </w:r>
    </w:p>
    <w:p>
      <w:pPr>
        <w:pStyle w:val="ListParagraph"/>
        <w:numPr>
          <w:ilvl w:val="0"/>
          <w:numId w:val="2"/>
        </w:numPr>
        <w:spacing w:before="40" w:after="60"/>
      </w:pPr>
      <w:r>
        <w:rPr>
          <w:rFonts w:ascii="Arial" w:cs="Arial" w:eastAsia="Arial" w:hAnsi="Arial"/>
          <w:b/>
          <w:bCs/>
          <w:color w:val="0D9488"/>
          <w:sz w:val="20"/>
          <w:szCs w:val="20"/>
        </w:rPr>
        <w:t xml:space="preserve">Nano </w:t>
      </w:r>
      <w:r>
        <w:rPr>
          <w:rFonts w:ascii="Arial" w:cs="Arial" w:eastAsia="Arial" w:hAnsi="Arial"/>
          <w:color w:val="0A1628"/>
          <w:sz w:val="20"/>
          <w:szCs w:val="20"/>
        </w:rPr>
        <w:t xml:space="preserve">Tier 3 — Nano (10K–100K): 25–40 hyper-local creators in each target district. Genuine users who organically share their booking experience. Gifted bookings + small retainer.</w:t>
      </w:r>
    </w:p>
    <w:p>
      <w:pPr>
        <w:spacing w:before="80" w:after="80"/>
      </w:pPr>
    </w:p>
    <w:p>
      <w:pPr>
        <w:spacing w:before="200" w:after="80"/>
      </w:pPr>
      <w:r>
        <w:rPr>
          <w:rFonts w:ascii="Arial" w:cs="Arial" w:eastAsia="Arial" w:hAnsi="Arial"/>
          <w:b/>
          <w:bCs/>
          <w:color w:val="0D9488"/>
          <w:sz w:val="22"/>
          <w:szCs w:val="22"/>
        </w:rPr>
        <w:t xml:space="preserve">The WhatsApp Flywheel</w:t>
      </w:r>
    </w:p>
    <w:p>
      <w:pPr>
        <w:spacing w:before="60" w:after="100"/>
      </w:pPr>
      <w:r>
        <w:rPr>
          <w:rFonts w:ascii="Arial" w:cs="Arial" w:eastAsia="Arial" w:hAnsi="Arial"/>
          <w:color w:val="0A1628"/>
          <w:sz w:val="20"/>
          <w:szCs w:val="20"/>
        </w:rPr>
        <w:t xml:space="preserve">Egypt's most underestimated growth mechanic. Every booking creates a shareable moment because WhatsApp is where Egyptians coordinate social plans. Design the product to make sharing frictionless: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Booking confirmation includes a 'Share to WhatsApp' button — one tap generates a pre-formatted Arabic message with the venue, time, and available slots.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'Invite your squad' feature on court bookings auto-generates a WhatsApp group with the booking details pinned.</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Post-visit review prompt is delivered via WhatsApp 2 hours after the booking slot ends — not email, not push notification.</w:t>
      </w:r>
    </w:p>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6. Pricing &amp; Packaging Strategy</w:t>
      </w:r>
    </w:p>
    <w:p>
      <w:pPr>
        <w:pStyle w:val="Heading2"/>
        <w:spacing w:before="300" w:after="120"/>
      </w:pPr>
      <w:r>
        <w:rPr>
          <w:rFonts w:ascii="Arial" w:cs="Arial" w:eastAsia="Arial" w:hAnsi="Arial"/>
          <w:b/>
          <w:bCs/>
          <w:color w:val="1A4A7A"/>
          <w:sz w:val="26"/>
          <w:szCs w:val="26"/>
        </w:rPr>
        <w:t xml:space="preserve">6.1  Business Subscription Tiers</w:t>
      </w:r>
    </w:p>
    <w:p>
      <w:pPr>
        <w:spacing w:before="60" w:after="100"/>
      </w:pPr>
      <w:r>
        <w:rPr>
          <w:rFonts w:ascii="Arial" w:cs="Arial" w:eastAsia="Arial" w:hAnsi="Arial"/>
          <w:color w:val="0A1628"/>
          <w:sz w:val="20"/>
          <w:szCs w:val="20"/>
        </w:rPr>
        <w:t xml:space="preserve">Pricing is designed for the Egyptian SMB reality: EGP-denominated, low barrier to entry, and a clear upgrade path anchored to visible ROI. The WhatsApp Bot tier is the zero-friction on-ramp that captures businesses not yet ready to commit to a dashboard.</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2080"/>
        <w:gridCol w:w="2120"/>
      </w:tblGrid>
      <w:tr>
        <w:tc>
          <w:tcPr>
            <w:tcW w:type="dxa" w:w="2080"/>
            <w:tcBorders>
              <w:top w:val="single" w:color="BAE6FD" w:sz="1"/>
              <w:left w:val="single" w:color="BAE6FD" w:sz="1"/>
              <w:bottom w:val="single" w:color="BAE6FD" w:sz="1"/>
              <w:right w:val="single" w:color="BAE6FD" w:sz="1"/>
            </w:tcBorders>
            <w:shd w:fill="FFFFFF" w:val="clear"/>
            <w:tcMar>
              <w:top w:type="dxa" w:w="100"/>
              <w:left w:type="dxa" w:w="130"/>
              <w:bottom w:type="dxa" w:w="100"/>
              <w:right w:type="dxa" w:w="130"/>
            </w:tcMar>
            <w:vAlign w:val="center"/>
          </w:tcPr>
          <w:p>
            <w:pPr>
              <w:jc w:val="center"/>
            </w:pPr>
            <w:r>
              <w:rPr>
                <w:rFonts w:ascii="Arial" w:cs="Arial" w:eastAsia="Arial" w:hAnsi="Arial"/>
                <w:b/>
                <w:bCs/>
                <w:color w:val="FFFFFF"/>
                <w:sz w:val="1"/>
                <w:szCs w:val="1"/>
              </w:rPr>
              <w:t xml:space="preserve"/>
            </w:r>
          </w:p>
        </w:tc>
        <w:tc>
          <w:tcPr>
            <w:tcW w:type="dxa" w:w="2080"/>
            <w:tcBorders>
              <w:top w:val="single" w:color="BAE6FD" w:sz="1"/>
              <w:left w:val="single" w:color="BAE6FD" w:sz="1"/>
              <w:bottom w:val="single" w:color="BAE6FD" w:sz="1"/>
              <w:right w:val="single" w:color="BAE6FD" w:sz="1"/>
            </w:tcBorders>
            <w:shd w:fill="64748B"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Free
(WhatsApp Bot)</w:t>
            </w:r>
          </w:p>
        </w:tc>
        <w:tc>
          <w:tcPr>
            <w:tcW w:type="dxa" w:w="2080"/>
            <w:tcBorders>
              <w:top w:val="single" w:color="BAE6FD" w:sz="1"/>
              <w:left w:val="single" w:color="BAE6FD" w:sz="1"/>
              <w:bottom w:val="single" w:color="BAE6FD" w:sz="1"/>
              <w:right w:val="single" w:color="BAE6FD" w:sz="1"/>
            </w:tcBorders>
            <w:shd w:fill="1A4A7A"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Starter
EGP 299/mo</w:t>
            </w:r>
          </w:p>
        </w:tc>
        <w:tc>
          <w:tcPr>
            <w:tcW w:type="dxa" w:w="2080"/>
            <w:tcBorders>
              <w:top w:val="single" w:color="BAE6FD" w:sz="1"/>
              <w:left w:val="single" w:color="BAE6FD" w:sz="1"/>
              <w:bottom w:val="single" w:color="BAE6FD" w:sz="1"/>
              <w:right w:val="single" w:color="BAE6FD" w:sz="1"/>
            </w:tcBorders>
            <w:shd w:fill="0D948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Growth
EGP 799/mo</w:t>
            </w:r>
          </w:p>
        </w:tc>
        <w:tc>
          <w:tcPr>
            <w:tcW w:type="dxa" w:w="212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Pro
EGP 1,799/mo</w:t>
            </w:r>
          </w:p>
        </w:tc>
      </w:tr>
      <w:tr>
        <w:tc>
          <w:tcPr>
            <w:tcW w:type="dxa" w:w="208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Monthly Bookings</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Up to 30</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Up to 100</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Unlimited</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Unlimited</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Branches</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1</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Up to 3</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Unlimited</w:t>
            </w:r>
          </w:p>
        </w:tc>
      </w:tr>
      <w:tr>
        <w:tc>
          <w:tcPr>
            <w:tcW w:type="dxa" w:w="208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Staff Calendars</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1</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Up to 10</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Unlimited</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No-Show Protection</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w:t>
            </w:r>
          </w:p>
        </w:tc>
      </w:tr>
      <w:tr>
        <w:tc>
          <w:tcPr>
            <w:tcW w:type="dxa" w:w="208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Dynamic Pricing</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CRM &amp; Guest Profiles</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Basic</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Advanced</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Full + API</w:t>
            </w:r>
          </w:p>
        </w:tc>
      </w:tr>
      <w:tr>
        <w:tc>
          <w:tcPr>
            <w:tcW w:type="dxa" w:w="208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SMS &amp; Email Marketing</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500 SMS/mo</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Unlimited</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Analytics Dashboard</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Basic</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Advanced</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Full + Export</w:t>
            </w:r>
          </w:p>
        </w:tc>
      </w:tr>
      <w:tr>
        <w:tc>
          <w:tcPr>
            <w:tcW w:type="dxa" w:w="208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Featured Listing</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64748B"/>
                <w:sz w:val="17"/>
                <w:szCs w:val="17"/>
              </w:rPr>
              <w:t xml:space="preserve">—</w:t>
            </w:r>
          </w:p>
        </w:tc>
        <w:tc>
          <w:tcPr>
            <w:tcW w:type="dxa" w:w="208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Available (add-on)</w:t>
            </w:r>
          </w:p>
        </w:tc>
        <w:tc>
          <w:tcPr>
            <w:tcW w:type="dxa" w:w="212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Included 1 district</w:t>
            </w:r>
          </w:p>
        </w:tc>
      </w:tr>
      <w:tr>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Support</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Bot only</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Email + WhatsApp</w:t>
            </w:r>
          </w:p>
        </w:tc>
        <w:tc>
          <w:tcPr>
            <w:tcW w:type="dxa" w:w="208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D9488"/>
                <w:sz w:val="17"/>
                <w:szCs w:val="17"/>
              </w:rPr>
              <w:t xml:space="preserve">Priority + Phone</w:t>
            </w:r>
          </w:p>
        </w:tc>
        <w:tc>
          <w:tcPr>
            <w:tcW w:type="dxa" w:w="212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Dedicated AM</w:t>
            </w:r>
          </w:p>
        </w:tc>
      </w:tr>
    </w:tbl>
    <w:p>
      <w:pPr>
        <w:spacing w:before="0" w:after="160"/>
      </w:pPr>
    </w:p>
    <w:p>
      <w:pPr>
        <w:pStyle w:val="Heading2"/>
        <w:spacing w:before="300" w:after="120"/>
      </w:pPr>
      <w:r>
        <w:rPr>
          <w:rFonts w:ascii="Arial" w:cs="Arial" w:eastAsia="Arial" w:hAnsi="Arial"/>
          <w:b/>
          <w:bCs/>
          <w:color w:val="1A4A7A"/>
          <w:sz w:val="26"/>
          <w:szCs w:val="26"/>
        </w:rPr>
        <w:t xml:space="preserve">6.2  Transaction &amp; Marketplace Fees</w:t>
      </w:r>
    </w:p>
    <w:p>
      <w:pPr>
        <w:spacing w:before="60" w:after="100"/>
      </w:pPr>
      <w:r>
        <w:rPr>
          <w:rFonts w:ascii="Arial" w:cs="Arial" w:eastAsia="Arial" w:hAnsi="Arial"/>
          <w:color w:val="0A1628"/>
          <w:sz w:val="20"/>
          <w:szCs w:val="20"/>
        </w:rPr>
        <w:t xml:space="preserve">In addition to SaaS subscriptions, the platform earns on every transaction:</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Booking fee: EGP 15–50 per confirmed reservation, charged to the consumer at checkout. Varies by category (restaurant: EGP 25, salon: EGP 15, court: EGP 35).</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Deposit processing fee: 3% of deposit amount collected, split between platform and payment gateway costs.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No-show fee share: platform retains 25% of captured no-show penalties.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Featured listing: EGP 800–2,500/month for top placement in category and district search results.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Dynamic pricing premium: for businesses using surge pricing, platform takes 5% of the incremental revenue above the base booking fee.</w:t>
      </w:r>
    </w:p>
    <w:p>
      <w:pPr>
        <w:spacing w:before="80" w:after="80"/>
      </w:pPr>
    </w:p>
    <w:p>
      <w:pPr>
        <w:pStyle w:val="Heading2"/>
        <w:spacing w:before="300" w:after="120"/>
      </w:pPr>
      <w:r>
        <w:rPr>
          <w:rFonts w:ascii="Arial" w:cs="Arial" w:eastAsia="Arial" w:hAnsi="Arial"/>
          <w:b/>
          <w:bCs/>
          <w:color w:val="1A4A7A"/>
          <w:sz w:val="26"/>
          <w:szCs w:val="26"/>
        </w:rPr>
        <w:t xml:space="preserve">6.3  Egypt-Specific Pricing Rationale</w:t>
      </w:r>
    </w:p>
    <w:p>
      <w:pPr>
        <w:spacing w:before="60" w:after="100"/>
      </w:pPr>
      <w:r>
        <w:rPr>
          <w:rFonts w:ascii="Arial" w:cs="Arial" w:eastAsia="Arial" w:hAnsi="Arial"/>
          <w:color w:val="0A1628"/>
          <w:sz w:val="20"/>
          <w:szCs w:val="20"/>
        </w:rPr>
        <w:t xml:space="preserve">Post-2024 EGP devaluation, USD-denominated SaaS is simply non-viable for the SMB segment. At EGP 299–1,799/month, the platform's Growth tier costs approximately the same as one average no-show per week — making the ROI argument trivial to make. This is a deliberate pricing anchor strategy.</w:t>
      </w:r>
    </w:p>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7. Strategic Partnerships</w:t>
      </w:r>
    </w:p>
    <w:p>
      <w:pPr>
        <w:spacing w:before="60" w:after="100"/>
      </w:pPr>
      <w:r>
        <w:rPr>
          <w:rFonts w:ascii="Arial" w:cs="Arial" w:eastAsia="Arial" w:hAnsi="Arial"/>
          <w:color w:val="0A1628"/>
          <w:sz w:val="20"/>
          <w:szCs w:val="20"/>
        </w:rPr>
        <w:t xml:space="preserve">Partnerships are the GTM lever that most Egypt tech startups underuse. In a trust-driven market, being associated with a known entity — a compound management company, a telecom, or a beloved restaurant chain — is worth more than any paid media budget in early stages.</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040"/>
      </w:tblGrid>
      <w:tr>
        <w:tc>
          <w:tcPr>
            <w:tcW w:type="dxa" w:w="2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Partner Type</w:t>
            </w:r>
          </w:p>
        </w:tc>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Examples</w:t>
            </w:r>
          </w:p>
        </w:tc>
        <w:tc>
          <w:tcPr>
            <w:tcW w:type="dxa" w:w="3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Value Exchange</w:t>
            </w:r>
          </w:p>
        </w:tc>
        <w:tc>
          <w:tcPr>
            <w:tcW w:type="dxa" w:w="30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GTM Role</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Compound Management</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Hyde Park, Mivida, Sodic, Mountain View, O West</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Platform becomes default booking OS for all compound amenities. Revenue share per booking. Compound promotes app to residents.</w:t>
            </w:r>
          </w:p>
        </w:tc>
        <w:tc>
          <w:tcPr>
            <w:tcW w:type="dxa" w:w="3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Captive supply + demand in one deal. Each compound = 2,000–15,000 potential users.</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Payment Processors</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InstaPay, Fawry, Vodafone Cash, Accept (Paymob)</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Preferred payment provider relationships. Co-marketing campaigns ("Book &amp; Pay with Fawry"). Reduced processing fees in exchange for default payment option status.</w:t>
            </w:r>
          </w:p>
        </w:tc>
        <w:tc>
          <w:tcPr>
            <w:tcW w:type="dxa" w:w="3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Removes last payment barrier. Co-marketing budget from payment partner subsidises consumer acquisition.</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Prop-Tech / Real Estate</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ODH, Beltone KEE, Emaar Misr, SODIC</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Booking density data sold as intelligence product. Platform integrated into new development amenity booking at design stage. Co-develop "smart compound" offering.</w:t>
            </w:r>
          </w:p>
        </w:tc>
        <w:tc>
          <w:tcPr>
            <w:tcW w:type="dxa" w:w="3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Validates enterprise data revenue stream. Creates B2B2C distribution — developer installs platform, residents auto-enroll.</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Telecom Partners</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Vodafone Egypt, Orange Egypt, Etisalat Misr</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Bundle platform access with mobile data packages. "Book unlimited with your Vodafone plan." Co-funded ads. SMS notification delivery at bulk rates.</w:t>
            </w:r>
          </w:p>
        </w:tc>
        <w:tc>
          <w:tcPr>
            <w:tcW w:type="dxa" w:w="3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Mass B2C distribution. Telecom endorsement builds trust with non-tech-native consumers.</w:t>
            </w:r>
          </w:p>
        </w:tc>
      </w:tr>
      <w:tr>
        <w:tc>
          <w:tcPr>
            <w:tcW w:type="dxa" w:w="2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F&amp;B / Lifestyle Chains</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Karam El Sha'm, Sequoia, Tabasco, Hardee's, Cinnabon</w:t>
            </w:r>
          </w:p>
        </w:tc>
        <w:tc>
          <w:tcPr>
            <w:tcW w:type="dxa" w:w="3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Enterprise tier contracts for multi-branch reservation management. Co-branded loyalty program (earn platform points at chain restaurants). Case study content.</w:t>
            </w:r>
          </w:p>
        </w:tc>
        <w:tc>
          <w:tcPr>
            <w:tcW w:type="dxa" w:w="3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Builds enterprise revenue track. Brand association drives consumer trust and download motivation.</w:t>
            </w:r>
          </w:p>
        </w:tc>
      </w:tr>
      <w:tr>
        <w:tc>
          <w:tcPr>
            <w:tcW w:type="dxa" w:w="2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Media &amp; Content</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Cairoscene, Scoop Empire, Enigma, local radio</w:t>
            </w:r>
          </w:p>
        </w:tc>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Editorial partnerships: "Best restaurants in New Cairo — book now" with embedded booking widget. Launch PR coverage. Podcast sponsorships.</w:t>
            </w:r>
          </w:p>
        </w:tc>
        <w:tc>
          <w:tcPr>
            <w:tcW w:type="dxa" w:w="3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SEO backlinks. Trusted editorial context for consumer trust. Low-cost awareness at launch.</w:t>
            </w:r>
          </w:p>
        </w:tc>
      </w:tr>
    </w:tbl>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8. KPIs &amp; Success Metrics</w:t>
      </w:r>
    </w:p>
    <w:p>
      <w:pPr>
        <w:spacing w:before="60" w:after="100"/>
      </w:pPr>
      <w:r>
        <w:rPr>
          <w:rFonts w:ascii="Arial" w:cs="Arial" w:eastAsia="Arial" w:hAnsi="Arial"/>
          <w:color w:val="0A1628"/>
          <w:sz w:val="20"/>
          <w:szCs w:val="20"/>
        </w:rPr>
        <w:t xml:space="preserve">Three categories of metrics govern GTM health: supply-side (business acquisition &amp; retention), demand-side (consumer growth &amp; engagement), and revenue (MRR growth and unit economics). The following targets are aggressive but achievable with proper execution of the supply-first strategy.</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000"/>
        <w:gridCol w:w="2000"/>
        <w:gridCol w:w="2000"/>
      </w:tblGrid>
      <w:tr>
        <w:tc>
          <w:tcPr>
            <w:tcW w:type="dxa" w:w="24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Metric</w:t>
            </w:r>
          </w:p>
        </w:tc>
        <w:tc>
          <w:tcPr>
            <w:tcW w:type="dxa" w:w="20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Definition</w:t>
            </w:r>
          </w:p>
        </w:tc>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Month 3 Target</w:t>
            </w:r>
          </w:p>
        </w:tc>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Month 6 Target</w:t>
            </w:r>
          </w:p>
        </w:tc>
        <w:tc>
          <w:tcPr>
            <w:tcW w:type="dxa" w:w="2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Month 12 Target</w:t>
            </w:r>
          </w:p>
        </w:tc>
      </w:tr>
      <w:tr>
        <w:tc>
          <w:tcPr>
            <w:tcW w:type="dxa" w:w="24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Active Businesses</w:t>
            </w:r>
          </w:p>
        </w:tc>
        <w:tc>
          <w:tcPr>
            <w:tcW w:type="dxa" w:w="2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Businesses with at least 1 booking in last 30 days</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100</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250</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800</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Monthly Bookings (GMV events)</w:t>
            </w:r>
          </w:p>
        </w:tc>
        <w:tc>
          <w:tcPr>
            <w:tcW w:type="dxa" w:w="2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Total confirmed reservations in calendar month</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3,000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12,000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60,000</w:t>
            </w:r>
          </w:p>
        </w:tc>
      </w:tr>
      <w:tr>
        <w:tc>
          <w:tcPr>
            <w:tcW w:type="dxa" w:w="24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Monthly Recurring Revenue</w:t>
            </w:r>
          </w:p>
        </w:tc>
        <w:tc>
          <w:tcPr>
            <w:tcW w:type="dxa" w:w="2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SaaS subscriptions + transaction fees (EGP)</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EGP 180,000</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EGP 550,000</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EGP 2,800,000</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Consumer MAU</w:t>
            </w:r>
          </w:p>
        </w:tc>
        <w:tc>
          <w:tcPr>
            <w:tcW w:type="dxa" w:w="2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Monthly active users who made or viewed a booking</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5,000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25,000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120,000</w:t>
            </w:r>
          </w:p>
        </w:tc>
      </w:tr>
      <w:tr>
        <w:tc>
          <w:tcPr>
            <w:tcW w:type="dxa" w:w="24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Consumer Repeat Rate</w:t>
            </w:r>
          </w:p>
        </w:tc>
        <w:tc>
          <w:tcPr>
            <w:tcW w:type="dxa" w:w="2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 of users who book again within 30 days</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20%</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35%</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45%</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Business NPS</w:t>
            </w:r>
          </w:p>
        </w:tc>
        <w:tc>
          <w:tcPr>
            <w:tcW w:type="dxa" w:w="2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Net Promoter Score from business owner survey</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&gt; 40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&gt; 55</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&gt; 65</w:t>
            </w:r>
          </w:p>
        </w:tc>
      </w:tr>
      <w:tr>
        <w:tc>
          <w:tcPr>
            <w:tcW w:type="dxa" w:w="24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No-Show Rate (platform bookings)</w:t>
            </w:r>
          </w:p>
        </w:tc>
        <w:tc>
          <w:tcPr>
            <w:tcW w:type="dxa" w:w="2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 of bookings where customer did not show up</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&lt; 15%</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&lt; 10%</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&lt; 7%</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CAC: Business</w:t>
            </w:r>
          </w:p>
        </w:tc>
        <w:tc>
          <w:tcPr>
            <w:tcW w:type="dxa" w:w="2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Total B2B acquisition cost per activated business</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EGP 2,500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EGP 1,800</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EGP 1,200</w:t>
            </w:r>
          </w:p>
        </w:tc>
      </w:tr>
      <w:tr>
        <w:tc>
          <w:tcPr>
            <w:tcW w:type="dxa" w:w="24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CAC: Consumer</w:t>
            </w:r>
          </w:p>
        </w:tc>
        <w:tc>
          <w:tcPr>
            <w:tcW w:type="dxa" w:w="20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Total B2C acquisition cost per first-time booker</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EGP 35</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EGP 22</w:t>
            </w:r>
          </w:p>
        </w:tc>
        <w:tc>
          <w:tcPr>
            <w:tcW w:type="dxa" w:w="2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EGP 14</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Business Churn Rate</w:t>
            </w:r>
          </w:p>
        </w:tc>
        <w:tc>
          <w:tcPr>
            <w:tcW w:type="dxa" w:w="20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 of active businesses that cancel in a given month</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66534"/>
                <w:sz w:val="17"/>
                <w:szCs w:val="17"/>
              </w:rPr>
              <w:t xml:space="preserve">&lt; 8%</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1A4A7A"/>
                <w:sz w:val="17"/>
                <w:szCs w:val="17"/>
              </w:rPr>
              <w:t xml:space="preserve">&lt; 5%</w:t>
            </w:r>
          </w:p>
        </w:tc>
        <w:tc>
          <w:tcPr>
            <w:tcW w:type="dxa" w:w="2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5B21B6"/>
                <w:sz w:val="17"/>
                <w:szCs w:val="17"/>
              </w:rPr>
              <w:t xml:space="preserve">&lt; 3%</w:t>
            </w:r>
          </w:p>
        </w:tc>
      </w:tr>
    </w:tbl>
    <w:p>
      <w:pPr>
        <w:spacing w:before="0" w:after="160"/>
      </w:pPr>
    </w:p>
    <w:p>
      <w:pPr>
        <w:pStyle w:val="Heading2"/>
        <w:spacing w:before="300" w:after="120"/>
      </w:pPr>
      <w:r>
        <w:rPr>
          <w:rFonts w:ascii="Arial" w:cs="Arial" w:eastAsia="Arial" w:hAnsi="Arial"/>
          <w:b/>
          <w:bCs/>
          <w:color w:val="1A4A7A"/>
          <w:sz w:val="26"/>
          <w:szCs w:val="26"/>
        </w:rPr>
        <w:t xml:space="preserve">8.1  North Star Metric</w:t>
      </w:r>
    </w:p>
    <w:p>
      <w:pPr>
        <w:pBdr>
          <w:left w:val="single" w:color="0D9488" w:sz="24" w:space="14"/>
        </w:pBdr>
        <w:shd w:fill="CCFBF1" w:color="auto" w:val="clear"/>
        <w:spacing w:before="120" w:after="160"/>
        <w:ind w:left="400" w:right="200"/>
      </w:pPr>
      <w:r>
        <w:rPr>
          <w:rFonts w:ascii="Arial" w:cs="Arial" w:eastAsia="Arial" w:hAnsi="Arial"/>
          <w:b/>
          <w:bCs/>
          <w:i/>
          <w:iCs/>
          <w:color w:val="0A1628"/>
          <w:sz w:val="21"/>
          <w:szCs w:val="21"/>
        </w:rPr>
        <w:t xml:space="preserve">Confirmed Bookings Per Month — this single metric reflects both supply health (enough businesses) and demand health (enough consumers). It is the only metric where both sides of the marketplace must be working simultaneously.</w:t>
      </w:r>
    </w:p>
    <w:p>
      <w:pPr>
        <w:pStyle w:val="Heading2"/>
        <w:spacing w:before="300" w:after="120"/>
      </w:pPr>
      <w:r>
        <w:rPr>
          <w:rFonts w:ascii="Arial" w:cs="Arial" w:eastAsia="Arial" w:hAnsi="Arial"/>
          <w:b/>
          <w:bCs/>
          <w:color w:val="1A4A7A"/>
          <w:sz w:val="26"/>
          <w:szCs w:val="26"/>
        </w:rPr>
        <w:t xml:space="preserve">8.2  Leading vs. Lagging Indicators</w:t>
      </w:r>
    </w:p>
    <w:p>
      <w:pPr>
        <w:spacing w:before="60" w:after="100"/>
      </w:pPr>
      <w:r>
        <w:rPr>
          <w:rFonts w:ascii="Arial" w:cs="Arial" w:eastAsia="Arial" w:hAnsi="Arial"/>
          <w:color w:val="0A1628"/>
          <w:sz w:val="20"/>
          <w:szCs w:val="20"/>
        </w:rPr>
        <w:t xml:space="preserve">Track these weekly as leading indicators that predict MRR health 60–90 days ahead:</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New business activations per week (leading → Monthly active businesses)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Day-7 consumer retention after first booking (leading → MAU and repeat rate)</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WhatsApp share rate per booking (leading → organic CAC reduction)</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Business NPS score at Day-30 post-onboarding (leading → churn rate at 90 days)</w:t>
      </w:r>
    </w:p>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9. GTM Budget Allocation</w:t>
      </w:r>
    </w:p>
    <w:p>
      <w:pPr>
        <w:spacing w:before="60" w:after="100"/>
      </w:pPr>
      <w:r>
        <w:rPr>
          <w:rFonts w:ascii="Arial" w:cs="Arial" w:eastAsia="Arial" w:hAnsi="Arial"/>
          <w:color w:val="0A1628"/>
          <w:sz w:val="20"/>
          <w:szCs w:val="20"/>
        </w:rPr>
        <w:t xml:space="preserve">Total first-year GTM budget is approximately EGP 1.27 million (~$25,000 USD equivalent). Front-loaded toward B2B supply acquisition (Months 1–3) then shifting toward consumer growth (Months 4–12). The budget excludes product engineering and core team salaries.</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1760"/>
        <w:gridCol w:w="1960"/>
      </w:tblGrid>
      <w:tr>
        <w:tc>
          <w:tcPr>
            <w:tcW w:type="dxa" w:w="3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Category</w:t>
            </w:r>
          </w:p>
        </w:tc>
        <w:tc>
          <w:tcPr>
            <w:tcW w:type="dxa" w:w="176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Month 1–3 (EGP)</w:t>
            </w:r>
          </w:p>
        </w:tc>
        <w:tc>
          <w:tcPr>
            <w:tcW w:type="dxa" w:w="176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Month 4–6 (EGP)</w:t>
            </w:r>
          </w:p>
        </w:tc>
        <w:tc>
          <w:tcPr>
            <w:tcW w:type="dxa" w:w="176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Month 7–12 (EGP)</w:t>
            </w:r>
          </w:p>
        </w:tc>
        <w:tc>
          <w:tcPr>
            <w:tcW w:type="dxa" w:w="196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B2B Sales Team (2 AMs + 2 field reps)</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90,000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120,000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200,000</w:t>
            </w:r>
          </w:p>
        </w:tc>
        <w:tc>
          <w:tcPr>
            <w:tcW w:type="dxa" w:w="19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Scales with geography</w:t>
            </w:r>
          </w:p>
        </w:tc>
      </w:tr>
      <w:tr>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Business Onboarding Materials</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25,000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15,000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30,000</w:t>
            </w:r>
          </w:p>
        </w:tc>
        <w:tc>
          <w:tcPr>
            <w:tcW w:type="dxa" w:w="19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Print, stickers, table cards</w:t>
            </w:r>
          </w:p>
        </w:tc>
      </w:tr>
      <w:tr>
        <w:tc>
          <w:tcPr>
            <w:tcW w:type="dxa" w:w="3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Early Adopter Program (6-mo free subs)</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50,000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0</w:t>
            </w:r>
          </w:p>
        </w:tc>
        <w:tc>
          <w:tcPr>
            <w:tcW w:type="dxa" w:w="19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One-time subsidised cost</w:t>
            </w:r>
          </w:p>
        </w:tc>
      </w:tr>
      <w:tr>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Influencer Partnerships (performance)</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30,000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50,000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80,000</w:t>
            </w:r>
          </w:p>
        </w:tc>
        <w:tc>
          <w:tcPr>
            <w:tcW w:type="dxa" w:w="19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Mostly perf-based. Low risk.</w:t>
            </w:r>
          </w:p>
        </w:tc>
      </w:tr>
      <w:tr>
        <w:tc>
          <w:tcPr>
            <w:tcW w:type="dxa" w:w="3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Meta Ads (Instagram / Facebook)</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75,000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150,000</w:t>
            </w:r>
          </w:p>
        </w:tc>
        <w:tc>
          <w:tcPr>
            <w:tcW w:type="dxa" w:w="19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Starts at Phase 2 (validated product)</w:t>
            </w:r>
          </w:p>
        </w:tc>
      </w:tr>
      <w:tr>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TikTok Content Production</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15,000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20,000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40,000</w:t>
            </w:r>
          </w:p>
        </w:tc>
        <w:tc>
          <w:tcPr>
            <w:tcW w:type="dxa" w:w="19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In-house + freelance creators</w:t>
            </w:r>
          </w:p>
        </w:tc>
      </w:tr>
      <w:tr>
        <w:tc>
          <w:tcPr>
            <w:tcW w:type="dxa" w:w="3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SEO &amp; Google SEM</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10,000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20,000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45,000</w:t>
            </w:r>
          </w:p>
        </w:tc>
        <w:tc>
          <w:tcPr>
            <w:tcW w:type="dxa" w:w="19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Bottom-of-funnel only</w:t>
            </w:r>
          </w:p>
        </w:tc>
      </w:tr>
      <w:tr>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Referral Credits Float</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20,000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50,000</w:t>
            </w:r>
          </w:p>
        </w:tc>
        <w:tc>
          <w:tcPr>
            <w:tcW w:type="dxa" w:w="19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EGP 50 per refer. Capped.</w:t>
            </w:r>
          </w:p>
        </w:tc>
      </w:tr>
      <w:tr>
        <w:tc>
          <w:tcPr>
            <w:tcW w:type="dxa" w:w="3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PR &amp; Media Partnerships</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20,000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15,000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25,000</w:t>
            </w:r>
          </w:p>
        </w:tc>
        <w:tc>
          <w:tcPr>
            <w:tcW w:type="dxa" w:w="19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Launch press + ongoing editorial</w:t>
            </w:r>
          </w:p>
        </w:tc>
      </w:tr>
      <w:tr>
        <w:tc>
          <w:tcPr>
            <w:tcW w:type="dxa" w:w="3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1A4A7A"/>
                <w:sz w:val="17"/>
                <w:szCs w:val="17"/>
              </w:rPr>
              <w:t xml:space="preserve">Partnership Development</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10,000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20,000</w:t>
            </w:r>
          </w:p>
        </w:tc>
        <w:tc>
          <w:tcPr>
            <w:tcW w:type="dxa" w:w="17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30,000</w:t>
            </w:r>
          </w:p>
        </w:tc>
        <w:tc>
          <w:tcPr>
            <w:tcW w:type="dxa" w:w="196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Compound &amp; telecom partner fees</w:t>
            </w:r>
          </w:p>
        </w:tc>
      </w:tr>
      <w:tr>
        <w:tc>
          <w:tcPr>
            <w:tcW w:type="dxa" w:w="3200"/>
            <w:tcBorders>
              <w:top w:val="single" w:color="BAE6FD" w:sz="1"/>
              <w:left w:val="single" w:color="BAE6FD" w:sz="1"/>
              <w:bottom w:val="single" w:color="BAE6FD" w:sz="1"/>
              <w:right w:val="single" w:color="BAE6FD" w:sz="1"/>
            </w:tcBorders>
            <w:shd w:fill="DBEAFE" w:val="clear"/>
            <w:tcMar>
              <w:top w:type="dxa" w:w="90"/>
              <w:left w:type="dxa" w:w="130"/>
              <w:bottom w:type="dxa" w:w="90"/>
              <w:right w:type="dxa" w:w="130"/>
            </w:tcMar>
            <w:vAlign w:val="center"/>
          </w:tcPr>
          <w:p>
            <w:r>
              <w:rPr>
                <w:rFonts w:ascii="Arial" w:cs="Arial" w:eastAsia="Arial" w:hAnsi="Arial"/>
                <w:b/>
                <w:bCs/>
                <w:color w:val="1A4A7A"/>
                <w:sz w:val="17"/>
                <w:szCs w:val="17"/>
              </w:rPr>
              <w:t xml:space="preserve">WhatsApp Bot Development</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25,000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0</w:t>
            </w:r>
          </w:p>
        </w:tc>
        <w:tc>
          <w:tcPr>
            <w:tcW w:type="dxa" w:w="17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0A1628"/>
                <w:sz w:val="17"/>
                <w:szCs w:val="17"/>
              </w:rPr>
              <w:t xml:space="preserve">10,000</w:t>
            </w:r>
          </w:p>
        </w:tc>
        <w:tc>
          <w:tcPr>
            <w:tcW w:type="dxa" w:w="196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One-time build + maintenance</w:t>
            </w:r>
          </w:p>
        </w:tc>
      </w:tr>
      <w:tr>
        <w:tc>
          <w:tcPr>
            <w:tcW w:type="dxa" w:w="3200"/>
            <w:tcBorders>
              <w:top w:val="single" w:color="BAE6FD" w:sz="1"/>
              <w:left w:val="single" w:color="BAE6FD" w:sz="1"/>
              <w:bottom w:val="single" w:color="BAE6FD" w:sz="1"/>
              <w:right w:val="single" w:color="BAE6FD" w:sz="1"/>
            </w:tcBorders>
            <w:shd w:fill="0A1628" w:val="clear"/>
            <w:tcMar>
              <w:top w:type="dxa" w:w="90"/>
              <w:left w:type="dxa" w:w="130"/>
              <w:bottom w:type="dxa" w:w="90"/>
              <w:right w:type="dxa" w:w="130"/>
            </w:tcMar>
            <w:vAlign w:val="center"/>
          </w:tcPr>
          <w:p>
            <w:r>
              <w:rPr>
                <w:rFonts w:ascii="Arial" w:cs="Arial" w:eastAsia="Arial" w:hAnsi="Arial"/>
                <w:b/>
                <w:bCs/>
                <w:color w:val="FFFFFF"/>
                <w:sz w:val="17"/>
                <w:szCs w:val="17"/>
              </w:rPr>
              <w:t xml:space="preserve">TOTAL GTM BUDGET</w:t>
            </w:r>
          </w:p>
        </w:tc>
        <w:tc>
          <w:tcPr>
            <w:tcW w:type="dxa" w:w="1760"/>
            <w:tcBorders>
              <w:top w:val="single" w:color="BAE6FD" w:sz="1"/>
              <w:left w:val="single" w:color="BAE6FD" w:sz="1"/>
              <w:bottom w:val="single" w:color="BAE6FD" w:sz="1"/>
              <w:right w:val="single" w:color="BAE6FD" w:sz="1"/>
            </w:tcBorders>
            <w:shd w:fill="0A1628" w:val="clear"/>
            <w:tcMar>
              <w:top w:type="dxa" w:w="90"/>
              <w:left w:type="dxa" w:w="130"/>
              <w:bottom w:type="dxa" w:w="90"/>
              <w:right w:type="dxa" w:w="130"/>
            </w:tcMar>
            <w:vAlign w:val="center"/>
          </w:tcPr>
          <w:p>
            <w:r>
              <w:rPr>
                <w:rFonts w:ascii="Arial" w:cs="Arial" w:eastAsia="Arial" w:hAnsi="Arial"/>
                <w:b/>
                <w:bCs/>
                <w:color w:val="FFFFFF"/>
                <w:sz w:val="17"/>
                <w:szCs w:val="17"/>
              </w:rPr>
              <w:t xml:space="preserve">EGP 275,000</w:t>
            </w:r>
          </w:p>
        </w:tc>
        <w:tc>
          <w:tcPr>
            <w:tcW w:type="dxa" w:w="1760"/>
            <w:tcBorders>
              <w:top w:val="single" w:color="BAE6FD" w:sz="1"/>
              <w:left w:val="single" w:color="BAE6FD" w:sz="1"/>
              <w:bottom w:val="single" w:color="BAE6FD" w:sz="1"/>
              <w:right w:val="single" w:color="BAE6FD" w:sz="1"/>
            </w:tcBorders>
            <w:shd w:fill="0A1628" w:val="clear"/>
            <w:tcMar>
              <w:top w:type="dxa" w:w="90"/>
              <w:left w:type="dxa" w:w="130"/>
              <w:bottom w:type="dxa" w:w="90"/>
              <w:right w:type="dxa" w:w="130"/>
            </w:tcMar>
            <w:vAlign w:val="center"/>
          </w:tcPr>
          <w:p>
            <w:r>
              <w:rPr>
                <w:rFonts w:ascii="Arial" w:cs="Arial" w:eastAsia="Arial" w:hAnsi="Arial"/>
                <w:b/>
                <w:bCs/>
                <w:color w:val="FFFFFF"/>
                <w:sz w:val="17"/>
                <w:szCs w:val="17"/>
              </w:rPr>
              <w:t xml:space="preserve">EGP 335,000</w:t>
            </w:r>
          </w:p>
        </w:tc>
        <w:tc>
          <w:tcPr>
            <w:tcW w:type="dxa" w:w="1760"/>
            <w:tcBorders>
              <w:top w:val="single" w:color="BAE6FD" w:sz="1"/>
              <w:left w:val="single" w:color="BAE6FD" w:sz="1"/>
              <w:bottom w:val="single" w:color="BAE6FD" w:sz="1"/>
              <w:right w:val="single" w:color="BAE6FD" w:sz="1"/>
            </w:tcBorders>
            <w:shd w:fill="0A1628" w:val="clear"/>
            <w:tcMar>
              <w:top w:type="dxa" w:w="90"/>
              <w:left w:type="dxa" w:w="130"/>
              <w:bottom w:type="dxa" w:w="90"/>
              <w:right w:type="dxa" w:w="130"/>
            </w:tcMar>
            <w:vAlign w:val="center"/>
          </w:tcPr>
          <w:p>
            <w:r>
              <w:rPr>
                <w:rFonts w:ascii="Arial" w:cs="Arial" w:eastAsia="Arial" w:hAnsi="Arial"/>
                <w:b/>
                <w:bCs/>
                <w:color w:val="FFFFFF"/>
                <w:sz w:val="17"/>
                <w:szCs w:val="17"/>
              </w:rPr>
              <w:t xml:space="preserve">EGP 660,000</w:t>
            </w:r>
          </w:p>
        </w:tc>
        <w:tc>
          <w:tcPr>
            <w:tcW w:type="dxa" w:w="1960"/>
            <w:tcBorders>
              <w:top w:val="single" w:color="BAE6FD" w:sz="1"/>
              <w:left w:val="single" w:color="BAE6FD" w:sz="1"/>
              <w:bottom w:val="single" w:color="BAE6FD" w:sz="1"/>
              <w:right w:val="single" w:color="BAE6FD" w:sz="1"/>
            </w:tcBorders>
            <w:shd w:fill="0A1628" w:val="clear"/>
            <w:tcMar>
              <w:top w:type="dxa" w:w="90"/>
              <w:left w:type="dxa" w:w="130"/>
              <w:bottom w:type="dxa" w:w="90"/>
              <w:right w:type="dxa" w:w="130"/>
            </w:tcMar>
            <w:vAlign w:val="center"/>
          </w:tcPr>
          <w:p>
            <w:pPr>
              <w:jc w:val="center"/>
            </w:pPr>
            <w:r>
              <w:rPr>
                <w:rFonts w:ascii="Arial" w:cs="Arial" w:eastAsia="Arial" w:hAnsi="Arial"/>
                <w:color w:val="FFFFFF"/>
                <w:sz w:val="17"/>
                <w:szCs w:val="17"/>
              </w:rPr>
              <w:t xml:space="preserve">EGP 1.27M first 12 months</w:t>
            </w:r>
          </w:p>
        </w:tc>
      </w:tr>
    </w:tbl>
    <w:p>
      <w:pPr>
        <w:spacing w:before="0" w:after="160"/>
      </w:pPr>
    </w:p>
    <w:p>
      <w:pPr>
        <w:pStyle w:val="Heading2"/>
        <w:spacing w:before="300" w:after="120"/>
      </w:pPr>
      <w:r>
        <w:rPr>
          <w:rFonts w:ascii="Arial" w:cs="Arial" w:eastAsia="Arial" w:hAnsi="Arial"/>
          <w:b/>
          <w:bCs/>
          <w:color w:val="1A4A7A"/>
          <w:sz w:val="26"/>
          <w:szCs w:val="26"/>
        </w:rPr>
        <w:t xml:space="preserve">9.1  Budget Philosophy</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70% of Month 1–3 budget is B2B — supply first, always.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Performance-based influencer spend (pay per install, not per post) de-risks the consumer acquisition channel.</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Meta ads intentionally delayed to Month 4 — only activate paid consumer acquisition after the product loop is proven and supply is dense enough to retain users.</w:t>
      </w:r>
    </w:p>
    <w:p>
      <w:pPr>
        <w:pStyle w:val="ListParagraph"/>
        <w:numPr>
          <w:ilvl w:val="0"/>
          <w:numId w:val="2"/>
        </w:numPr>
        <w:spacing w:before="40" w:after="60"/>
      </w:pPr>
      <w:r>
        <w:rPr>
          <w:rFonts w:ascii="Arial" w:cs="Arial" w:eastAsia="Arial" w:hAnsi="Arial"/>
          <w:b/>
          <w:bCs/>
          <w:color w:val="0D9488"/>
          <w:sz w:val="20"/>
          <w:szCs w:val="20"/>
        </w:rPr>
        <w:t xml:space="preserve">→ </w:t>
      </w:r>
      <w:r>
        <w:rPr>
          <w:rFonts w:ascii="Arial" w:cs="Arial" w:eastAsia="Arial" w:hAnsi="Arial"/>
          <w:color w:val="0A1628"/>
          <w:sz w:val="20"/>
          <w:szCs w:val="20"/>
        </w:rPr>
        <w:t xml:space="preserve">The referral credits float is a loan, not an expense — it returns as booking revenue when credits are redeemed.</w:t>
      </w:r>
    </w:p>
    <w:p>
      <w:pPr>
        <w:spacing w:before="0" w:after="200"/>
      </w:pPr>
    </w:p>
    <w:p>
      <w:r>
        <w:br w:type="page"/>
      </w:r>
    </w:p>
    <w:p>
      <w:pPr>
        <w:pStyle w:val="Heading1"/>
        <w:pBdr>
          <w:bottom w:val="single" w:color="0D9488" w:sz="12" w:space="8"/>
        </w:pBdr>
        <w:spacing w:before="440" w:after="160"/>
      </w:pPr>
      <w:r>
        <w:rPr>
          <w:rFonts w:ascii="Arial" w:cs="Arial" w:eastAsia="Arial" w:hAnsi="Arial"/>
          <w:b/>
          <w:bCs/>
          <w:color w:val="0A1628"/>
          <w:sz w:val="32"/>
          <w:szCs w:val="32"/>
        </w:rPr>
        <w:t xml:space="preserve">10. Risk Register &amp; Mitigation</w:t>
      </w:r>
    </w:p>
    <w:p>
      <w:pPr>
        <w:spacing w:before="6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3000"/>
        <w:gridCol w:w="2640"/>
      </w:tblGrid>
      <w:tr>
        <w:tc>
          <w:tcPr>
            <w:tcW w:type="dxa" w:w="24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Impact</w:t>
            </w:r>
          </w:p>
        </w:tc>
        <w:tc>
          <w:tcPr>
            <w:tcW w:type="dxa" w:w="300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Mitigation</w:t>
            </w:r>
          </w:p>
        </w:tc>
        <w:tc>
          <w:tcPr>
            <w:tcW w:type="dxa" w:w="2640"/>
            <w:tcBorders>
              <w:top w:val="single" w:color="BAE6FD" w:sz="1"/>
              <w:left w:val="single" w:color="BAE6FD" w:sz="1"/>
              <w:bottom w:val="single" w:color="BAE6FD" w:sz="1"/>
              <w:right w:val="single" w:color="BAE6FD" w:sz="1"/>
            </w:tcBorders>
            <w:shd w:fill="0A1628"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Early Warning Signal</w:t>
            </w:r>
          </w:p>
        </w:tc>
      </w:tr>
      <w:tr>
        <w:tc>
          <w:tcPr>
            <w:tcW w:type="dxa" w:w="2400"/>
            <w:tcBorders>
              <w:top w:val="single" w:color="BAE6FD" w:sz="1"/>
              <w:left w:val="single" w:color="BAE6FD" w:sz="1"/>
              <w:bottom w:val="single" w:color="BAE6FD" w:sz="1"/>
              <w:right w:val="single" w:color="BAE6FD" w:sz="1"/>
            </w:tcBorders>
            <w:shd w:fill="FEE2E2" w:val="clear"/>
            <w:tcMar>
              <w:top w:type="dxa" w:w="90"/>
              <w:left w:type="dxa" w:w="130"/>
              <w:bottom w:type="dxa" w:w="90"/>
              <w:right w:type="dxa" w:w="130"/>
            </w:tcMar>
            <w:vAlign w:val="center"/>
          </w:tcPr>
          <w:p>
            <w:r>
              <w:rPr>
                <w:rFonts w:ascii="Arial" w:cs="Arial" w:eastAsia="Arial" w:hAnsi="Arial"/>
                <w:b/>
                <w:bCs/>
                <w:color w:val="991B1B"/>
                <w:sz w:val="17"/>
                <w:szCs w:val="17"/>
              </w:rPr>
              <w:t xml:space="preserve">Fresha enters Egypt market</w:t>
            </w:r>
          </w:p>
        </w:tc>
        <w:tc>
          <w:tcPr>
            <w:tcW w:type="dxa" w:w="1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High</w:t>
            </w:r>
          </w:p>
        </w:tc>
        <w:tc>
          <w:tcPr>
            <w:tcW w:type="dxa" w:w="1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91B1B"/>
                <w:sz w:val="17"/>
                <w:szCs w:val="17"/>
              </w:rPr>
              <w:t xml:space="preserve">High</w:t>
            </w:r>
          </w:p>
        </w:tc>
        <w:tc>
          <w:tcPr>
            <w:tcW w:type="dxa" w:w="3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Lock in top 100 Cairo salons with 12-month exclusive growth agreements. Compete on Arabic-first experience and Egypt payment rails Fresha cannot match quickly.</w:t>
            </w:r>
          </w:p>
        </w:tc>
        <w:tc>
          <w:tcPr>
            <w:tcW w:type="dxa" w:w="26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Fresha adds Arabic salon listings in Cairo on their marketplace</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92400E"/>
                <w:sz w:val="17"/>
                <w:szCs w:val="17"/>
              </w:rPr>
              <w:t xml:space="preserve">WhatsApp dependency / behavior change</w:t>
            </w:r>
          </w:p>
        </w:tc>
        <w:tc>
          <w:tcPr>
            <w:tcW w:type="dxa" w:w="1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1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991B1B"/>
                <w:sz w:val="17"/>
                <w:szCs w:val="17"/>
              </w:rPr>
              <w:t xml:space="preserve">High</w:t>
            </w:r>
          </w:p>
        </w:tc>
        <w:tc>
          <w:tcPr>
            <w:tcW w:type="dxa" w:w="3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Build the platform to work with WhatsApp, not against it. The goal is to absorb the behavior, not replace it.</w:t>
            </w:r>
          </w:p>
        </w:tc>
        <w:tc>
          <w:tcPr>
            <w:tcW w:type="dxa" w:w="26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WhatsApp announces competing booking feature for businesses</w:t>
            </w:r>
          </w:p>
        </w:tc>
      </w:tr>
      <w:tr>
        <w:tc>
          <w:tcPr>
            <w:tcW w:type="dxa" w:w="2400"/>
            <w:tcBorders>
              <w:top w:val="single" w:color="BAE6FD" w:sz="1"/>
              <w:left w:val="single" w:color="BAE6FD" w:sz="1"/>
              <w:bottom w:val="single" w:color="BAE6FD" w:sz="1"/>
              <w:right w:val="single" w:color="BAE6FD" w:sz="1"/>
            </w:tcBorders>
            <w:shd w:fill="FEE2E2" w:val="clear"/>
            <w:tcMar>
              <w:top w:type="dxa" w:w="90"/>
              <w:left w:type="dxa" w:w="130"/>
              <w:bottom w:type="dxa" w:w="90"/>
              <w:right w:type="dxa" w:w="130"/>
            </w:tcMar>
            <w:vAlign w:val="center"/>
          </w:tcPr>
          <w:p>
            <w:r>
              <w:rPr>
                <w:rFonts w:ascii="Arial" w:cs="Arial" w:eastAsia="Arial" w:hAnsi="Arial"/>
                <w:b/>
                <w:bCs/>
                <w:color w:val="991B1B"/>
                <w:sz w:val="17"/>
                <w:szCs w:val="17"/>
              </w:rPr>
              <w:t xml:space="preserve">Business owner churn (tech resistance)</w:t>
            </w:r>
          </w:p>
        </w:tc>
        <w:tc>
          <w:tcPr>
            <w:tcW w:type="dxa" w:w="1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High</w:t>
            </w:r>
          </w:p>
        </w:tc>
        <w:tc>
          <w:tcPr>
            <w:tcW w:type="dxa" w:w="1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3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Assign dedicated account manager for first 90 days. The WhatsApp bot on-ramp means zero learning curve entry. Show ROI at Day 14 with the first revenue-protection report.</w:t>
            </w:r>
          </w:p>
        </w:tc>
        <w:tc>
          <w:tcPr>
            <w:tcW w:type="dxa" w:w="26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Week-2 login rate &lt; 40% for new businesses</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92400E"/>
                <w:sz w:val="17"/>
                <w:szCs w:val="17"/>
              </w:rPr>
              <w:t xml:space="preserve">EGP devaluation / pricing pressure</w:t>
            </w:r>
          </w:p>
        </w:tc>
        <w:tc>
          <w:tcPr>
            <w:tcW w:type="dxa" w:w="1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1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3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EGP pricing insulates from USD volatility. Keep pricing anchored to local purchasing power. Annual prepay discounts lock in revenue before further devaluation.</w:t>
            </w:r>
          </w:p>
        </w:tc>
        <w:tc>
          <w:tcPr>
            <w:tcW w:type="dxa" w:w="26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Consumer spending on dining/lifestyle drops 20%+ YoY</w:t>
            </w:r>
          </w:p>
        </w:tc>
      </w:tr>
      <w:tr>
        <w:tc>
          <w:tcPr>
            <w:tcW w:type="dxa" w:w="2400"/>
            <w:tcBorders>
              <w:top w:val="single" w:color="BAE6FD" w:sz="1"/>
              <w:left w:val="single" w:color="BAE6FD" w:sz="1"/>
              <w:bottom w:val="single" w:color="BAE6FD" w:sz="1"/>
              <w:right w:val="single" w:color="BAE6FD" w:sz="1"/>
            </w:tcBorders>
            <w:shd w:fill="FEE2E2" w:val="clear"/>
            <w:tcMar>
              <w:top w:type="dxa" w:w="90"/>
              <w:left w:type="dxa" w:w="130"/>
              <w:bottom w:type="dxa" w:w="90"/>
              <w:right w:type="dxa" w:w="130"/>
            </w:tcMar>
            <w:vAlign w:val="center"/>
          </w:tcPr>
          <w:p>
            <w:r>
              <w:rPr>
                <w:rFonts w:ascii="Arial" w:cs="Arial" w:eastAsia="Arial" w:hAnsi="Arial"/>
                <w:b/>
                <w:bCs/>
                <w:color w:val="991B1B"/>
                <w:sz w:val="17"/>
                <w:szCs w:val="17"/>
              </w:rPr>
              <w:t xml:space="preserve">Chicken-and-egg in new districts</w:t>
            </w:r>
          </w:p>
        </w:tc>
        <w:tc>
          <w:tcPr>
            <w:tcW w:type="dxa" w:w="1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High</w:t>
            </w:r>
          </w:p>
        </w:tc>
        <w:tc>
          <w:tcPr>
            <w:tcW w:type="dxa" w:w="12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300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Never expand to a new district without a signed supply anchor (minimum 20 businesses committed before launch day). Run a 2-week pre-launch supply sprint before activating consumer marketing.</w:t>
            </w:r>
          </w:p>
        </w:tc>
        <w:tc>
          <w:tcPr>
            <w:tcW w:type="dxa" w:w="2640"/>
            <w:tcBorders>
              <w:top w:val="single" w:color="BAE6FD" w:sz="1"/>
              <w:left w:val="single" w:color="BAE6FD" w:sz="1"/>
              <w:bottom w:val="single" w:color="BAE6FD" w:sz="1"/>
              <w:right w:val="single" w:color="BAE6FD" w:sz="1"/>
            </w:tcBorders>
            <w:shd w:fill="FFFF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New district launch with &lt; 15 active businesses in first 2 weeks</w:t>
            </w:r>
          </w:p>
        </w:tc>
      </w:tr>
      <w:tr>
        <w:tc>
          <w:tcPr>
            <w:tcW w:type="dxa" w:w="24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r>
              <w:rPr>
                <w:rFonts w:ascii="Arial" w:cs="Arial" w:eastAsia="Arial" w:hAnsi="Arial"/>
                <w:b/>
                <w:bCs/>
                <w:color w:val="92400E"/>
                <w:sz w:val="17"/>
                <w:szCs w:val="17"/>
              </w:rPr>
              <w:t xml:space="preserve">No-show dispute / payment disputes</w:t>
            </w:r>
          </w:p>
        </w:tc>
        <w:tc>
          <w:tcPr>
            <w:tcW w:type="dxa" w:w="1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12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center"/>
            </w:pPr>
            <w:r>
              <w:rPr>
                <w:rFonts w:ascii="Arial" w:cs="Arial" w:eastAsia="Arial" w:hAnsi="Arial"/>
                <w:color w:val="92400E"/>
                <w:sz w:val="17"/>
                <w:szCs w:val="17"/>
              </w:rPr>
              <w:t xml:space="preserve">Medium</w:t>
            </w:r>
          </w:p>
        </w:tc>
        <w:tc>
          <w:tcPr>
            <w:tcW w:type="dxa" w:w="300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Clear cancellation and refund policy in Arabic. Escrow-model payment (funds held until booking completed). Dedicated dispute resolution flow in-app — not phone/email.</w:t>
            </w:r>
          </w:p>
        </w:tc>
        <w:tc>
          <w:tcPr>
            <w:tcW w:type="dxa" w:w="2640"/>
            <w:tcBorders>
              <w:top w:val="single" w:color="BAE6FD" w:sz="1"/>
              <w:left w:val="single" w:color="BAE6FD" w:sz="1"/>
              <w:bottom w:val="single" w:color="BAE6FD" w:sz="1"/>
              <w:right w:val="single" w:color="BAE6FD" w:sz="1"/>
            </w:tcBorders>
            <w:shd w:fill="F0F9FF" w:val="clear"/>
            <w:tcMar>
              <w:top w:type="dxa" w:w="90"/>
              <w:left w:type="dxa" w:w="130"/>
              <w:bottom w:type="dxa" w:w="90"/>
              <w:right w:type="dxa" w:w="130"/>
            </w:tcMar>
            <w:vAlign w:val="center"/>
          </w:tcPr>
          <w:p>
            <w:pPr>
              <w:jc w:val="left"/>
            </w:pPr>
            <w:r>
              <w:rPr>
                <w:rFonts w:ascii="Arial" w:cs="Arial" w:eastAsia="Arial" w:hAnsi="Arial"/>
                <w:color w:val="0A1628"/>
                <w:sz w:val="17"/>
                <w:szCs w:val="17"/>
              </w:rPr>
              <w:t xml:space="preserve">Dispute rate &gt; 3% of bookings with deposits</w:t>
            </w:r>
          </w:p>
        </w:tc>
      </w:tr>
    </w:tbl>
    <w:p>
      <w:pPr>
        <w:spacing w:before="0" w:after="200"/>
      </w:pPr>
    </w:p>
    <w:sectPr>
      <w:headerReference w:type="default" r:id="rId6"/>
      <w:footerReference w:type="default" r:id="rId7"/>
      <w:pgSz w:w="12240" w:h="15840" w:orient="portrait"/>
      <w:pgMar w:top="1200" w:right="900" w:bottom="12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AE6FD" w:sz="4" w:space="6"/>
      </w:pBdr>
      <w:tabs>
        <w:tab w:val="right" w:pos="9026"/>
      </w:tabs>
    </w:pPr>
    <w:r>
      <w:rPr>
        <w:rFonts w:ascii="Arial" w:cs="Arial" w:eastAsia="Arial" w:hAnsi="Arial"/>
        <w:color w:val="64748B"/>
        <w:sz w:val="16"/>
        <w:szCs w:val="16"/>
      </w:rPr>
      <w:t xml:space="preserve">Confidential  |  March 2026</w:t>
    </w:r>
    <w:r>
      <w:rPr>
        <w:rFonts w:ascii="Arial" w:cs="Arial" w:eastAsia="Arial" w:hAnsi="Arial"/>
        <w:color w:val="64748B"/>
        <w:sz w:val="16"/>
        <w:szCs w:val="16"/>
      </w:rPr>
      <w:t xml:space="preserve">	Page </w:t>
    </w:r>
    <w:r>
      <w:rPr>
        <w:rFonts w:ascii="Arial" w:cs="Arial" w:eastAsia="Arial" w:hAnsi="Arial"/>
        <w:color w:val="0A162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6"/>
      </w:pBdr>
      <w:tabs>
        <w:tab w:val="right" w:pos="9026"/>
      </w:tabs>
    </w:pPr>
    <w:r>
      <w:rPr>
        <w:rFonts w:ascii="Arial" w:cs="Arial" w:eastAsia="Arial" w:hAnsi="Arial"/>
        <w:b/>
        <w:bCs/>
        <w:color w:val="0A1628"/>
        <w:sz w:val="18"/>
        <w:szCs w:val="18"/>
      </w:rPr>
      <w:t xml:space="preserve">Super Reservation Platform</w:t>
    </w:r>
    <w:r>
      <w:rPr>
        <w:rFonts w:ascii="Arial" w:cs="Arial" w:eastAsia="Arial" w:hAnsi="Arial"/>
        <w:i/>
        <w:iCs/>
        <w:color w:val="64748B"/>
        <w:sz w:val="16"/>
        <w:szCs w:val="16"/>
      </w:rPr>
      <w:t xml:space="preserve">	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2026-03-25T07:07:38.957Z</dcterms:created>
  <dcterms:modified xsi:type="dcterms:W3CDTF">2026-03-25T07:07:38.958Z</dcterms:modified>
</cp:coreProperties>
</file>

<file path=docProps/custom.xml><?xml version="1.0" encoding="utf-8"?>
<Properties xmlns="http://schemas.openxmlformats.org/officeDocument/2006/custom-properties" xmlns:vt="http://schemas.openxmlformats.org/officeDocument/2006/docPropsVTypes"/>
</file>