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33E6" w14:textId="6264EDDD" w:rsidR="007D2B23" w:rsidRDefault="00AC5E60" w:rsidP="005541E7">
      <w:r>
        <w:t>Monetary policy refers to the actions taken by a country's central bank to regulate the money supply, interest rates, and overall economic activity in order to achieve macroeconomic objectives such as controlling inflation, stabilizing the currency, fostering employment, and promoting economic growth. Central banks use tools like setting benchmark interest rates, open market operations, and adjusting reserve requirements to influence borrowing, investment, and consumer spending. For instance, when the economy is slowing, the central bank may lower interest rates to encourage borrowing and stimulate demand. Conversely, during periods of high inflation, it might raise interest rates to curb excessive spending and stabilize prices. Through these measures, monetary policy plays a crucial role in managing economic stability and growth.</w:t>
      </w:r>
    </w:p>
    <w:p w14:paraId="259CE0B3" w14:textId="77777777" w:rsidR="007D2B23" w:rsidRDefault="007D2B23" w:rsidP="005541E7"/>
    <w:p w14:paraId="548EDF1F" w14:textId="08692C05" w:rsidR="007D2B23" w:rsidRPr="00671E5A" w:rsidRDefault="00671E5A" w:rsidP="005541E7">
      <w:pPr>
        <w:rPr>
          <w:b/>
          <w:bCs/>
          <w:sz w:val="32"/>
          <w:szCs w:val="40"/>
        </w:rPr>
      </w:pPr>
      <w:r w:rsidRPr="00671E5A">
        <w:rPr>
          <w:b/>
          <w:bCs/>
          <w:sz w:val="32"/>
          <w:szCs w:val="40"/>
        </w:rPr>
        <w:t>Inflation</w:t>
      </w:r>
    </w:p>
    <w:p w14:paraId="4CAAE7DD" w14:textId="77777777" w:rsidR="007D2B23" w:rsidRDefault="007D2B23" w:rsidP="005541E7"/>
    <w:p w14:paraId="03B406CB" w14:textId="067990E5" w:rsidR="007D2B23" w:rsidRDefault="00671E5A" w:rsidP="005541E7">
      <w:r>
        <w:t>Inflation is the rate at which the general level of prices for goods and services rises, eroding the purchasing power of money. It occurs when demand for goods and services exceeds supply, or when production costs increase, leading to higher prices. Inflation can have significant economic impacts: moderate inflation may indicate a growing economy, while high inflation can create uncertainty, reduce the value of savings, and hurt those with fixed incomes. On the other hand, deflation, or falling prices, can signal economic stagnation. Central banks typically try to control inflation through monetary policies, adjusting interest rates and money supply to keep inflation within a target range, balancing economic growth with price stability.</w:t>
      </w:r>
    </w:p>
    <w:p w14:paraId="20D3A238" w14:textId="77777777" w:rsidR="00671E5A" w:rsidRDefault="00671E5A" w:rsidP="005541E7">
      <w:pPr>
        <w:sectPr w:rsidR="00671E5A" w:rsidSect="00671E5A">
          <w:headerReference w:type="default" r:id="rId6"/>
          <w:pgSz w:w="11906" w:h="16838" w:code="9"/>
          <w:pgMar w:top="1440" w:right="1440" w:bottom="1440" w:left="1440" w:header="720" w:footer="720" w:gutter="0"/>
          <w:cols w:num="2" w:sep="1" w:space="720"/>
          <w:docGrid w:linePitch="360"/>
        </w:sectPr>
      </w:pPr>
    </w:p>
    <w:p w14:paraId="2D22DE3B" w14:textId="6576FCF8" w:rsidR="007D2B23" w:rsidRDefault="007D2B23" w:rsidP="005541E7"/>
    <w:p w14:paraId="79235A01" w14:textId="77777777" w:rsidR="007D2B23" w:rsidRDefault="007D2B23" w:rsidP="005541E7"/>
    <w:p w14:paraId="6CDD0320" w14:textId="77777777" w:rsidR="00B52648" w:rsidRDefault="00B52648" w:rsidP="005541E7"/>
    <w:p w14:paraId="734AB5CD" w14:textId="77777777" w:rsidR="00B52648" w:rsidRDefault="00B52648" w:rsidP="005541E7"/>
    <w:p w14:paraId="2E993F7E" w14:textId="77777777" w:rsidR="00B52648" w:rsidRDefault="00B52648" w:rsidP="005541E7"/>
    <w:p w14:paraId="66905B37" w14:textId="77777777" w:rsidR="00B52648" w:rsidRDefault="00B52648" w:rsidP="005541E7"/>
    <w:p w14:paraId="13477225" w14:textId="77777777" w:rsidR="00B52648" w:rsidRDefault="00B52648" w:rsidP="005541E7"/>
    <w:p w14:paraId="172A26D4" w14:textId="77777777" w:rsidR="00B52648" w:rsidRDefault="00B52648" w:rsidP="005541E7"/>
    <w:p w14:paraId="3F1FE035" w14:textId="77777777" w:rsidR="00B52648" w:rsidRDefault="00B52648" w:rsidP="005541E7"/>
    <w:p w14:paraId="4257902C" w14:textId="77777777" w:rsidR="00B52648" w:rsidRDefault="00B52648" w:rsidP="005541E7"/>
    <w:p w14:paraId="004EEA9D" w14:textId="77777777" w:rsidR="00B52648" w:rsidRDefault="00B52648" w:rsidP="005541E7"/>
    <w:p w14:paraId="6D1370FA" w14:textId="77777777" w:rsidR="00B52648" w:rsidRDefault="00B52648" w:rsidP="005541E7"/>
    <w:p w14:paraId="08789D80" w14:textId="77777777" w:rsidR="00B52648" w:rsidRDefault="00B52648" w:rsidP="005541E7"/>
    <w:p w14:paraId="3FE9172D" w14:textId="77777777" w:rsidR="007D2B23" w:rsidRDefault="007D2B23" w:rsidP="005541E7"/>
    <w:p w14:paraId="4866D719" w14:textId="77777777" w:rsidR="007D2B23" w:rsidRDefault="007D2B23" w:rsidP="005541E7"/>
    <w:p w14:paraId="16666938" w14:textId="77777777" w:rsidR="007D2B23" w:rsidRDefault="007D2B23" w:rsidP="005541E7"/>
    <w:p w14:paraId="1C5B13E5" w14:textId="77777777" w:rsidR="007D2B23" w:rsidRDefault="007D2B23" w:rsidP="005541E7"/>
    <w:p w14:paraId="24EE3EB0" w14:textId="77777777" w:rsidR="007D2B23" w:rsidRDefault="007D2B23" w:rsidP="005541E7"/>
    <w:p w14:paraId="6F700A11" w14:textId="77777777" w:rsidR="007D2B23" w:rsidRDefault="007D2B23" w:rsidP="005541E7"/>
    <w:p w14:paraId="6864EDB1" w14:textId="77777777" w:rsidR="007D2B23" w:rsidRDefault="007D2B23" w:rsidP="005541E7"/>
    <w:p w14:paraId="23B0C860" w14:textId="77777777" w:rsidR="007D2B23" w:rsidRDefault="007D2B23" w:rsidP="005541E7"/>
    <w:p w14:paraId="3ACA09F3" w14:textId="77777777" w:rsidR="007D2B23" w:rsidRDefault="007D2B23" w:rsidP="005541E7"/>
    <w:p w14:paraId="51DCB205" w14:textId="77777777" w:rsidR="007D2B23" w:rsidRDefault="007D2B23" w:rsidP="005541E7"/>
    <w:p w14:paraId="7B162C51" w14:textId="77777777" w:rsidR="007D2B23" w:rsidRDefault="007D2B23" w:rsidP="005541E7"/>
    <w:p w14:paraId="03240ED8" w14:textId="77777777" w:rsidR="007D2B23" w:rsidRDefault="007D2B23" w:rsidP="005541E7"/>
    <w:p w14:paraId="3542037E" w14:textId="77777777" w:rsidR="007D2B23" w:rsidRDefault="007D2B23" w:rsidP="005541E7"/>
    <w:p w14:paraId="7220093E" w14:textId="77777777" w:rsidR="007D2B23" w:rsidRDefault="007D2B23" w:rsidP="005541E7"/>
    <w:p w14:paraId="3A09A451" w14:textId="77777777" w:rsidR="007D2B23" w:rsidRDefault="007D2B23" w:rsidP="005541E7"/>
    <w:p w14:paraId="3558C420" w14:textId="45FD9EC2" w:rsidR="007D2B23" w:rsidRPr="00B52648" w:rsidRDefault="00A6690A" w:rsidP="005541E7">
      <w:pPr>
        <w:rPr>
          <w:rFonts w:eastAsiaTheme="minorEastAsia"/>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k</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k</m:t>
                          </m:r>
                        </m:sup>
                      </m:sSup>
                    </m:e>
                  </m:nary>
                </m:e>
              </m:d>
            </m:e>
            <m:sup>
              <m:r>
                <w:rPr>
                  <w:rFonts w:ascii="Cambria Math" w:hAnsi="Cambria Math"/>
                </w:rPr>
                <m:t>2</m:t>
              </m:r>
            </m:sup>
          </m:sSup>
        </m:oMath>
      </m:oMathPara>
    </w:p>
    <w:p w14:paraId="04D24121" w14:textId="77777777" w:rsidR="00B52648" w:rsidRDefault="00B52648" w:rsidP="005541E7">
      <w:pPr>
        <w:rPr>
          <w:rFonts w:eastAsiaTheme="minorEastAsia"/>
        </w:rPr>
      </w:pPr>
    </w:p>
    <w:p w14:paraId="0FDE4F01" w14:textId="77777777" w:rsidR="00B52648" w:rsidRDefault="00B52648" w:rsidP="005541E7">
      <w:pPr>
        <w:rPr>
          <w:rFonts w:eastAsiaTheme="minorEastAsia"/>
        </w:rPr>
      </w:pPr>
    </w:p>
    <w:p w14:paraId="5C2F59D2" w14:textId="6C2239B7" w:rsidR="00B52648" w:rsidRDefault="009B6459" w:rsidP="005541E7">
      <w:r>
        <w:rPr>
          <w:noProof/>
        </w:rPr>
        <w:lastRenderedPageBreak/>
        <w:drawing>
          <wp:inline distT="0" distB="0" distL="0" distR="0" wp14:anchorId="780D0522" wp14:editId="0B484A44">
            <wp:extent cx="6233160" cy="48310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08479E" w14:textId="77777777" w:rsidR="00D26377" w:rsidRDefault="00D26377" w:rsidP="005541E7"/>
    <w:p w14:paraId="7A363803" w14:textId="77777777" w:rsidR="00D26377" w:rsidRDefault="00D26377" w:rsidP="005541E7"/>
    <w:p w14:paraId="3269C8D2" w14:textId="77777777" w:rsidR="00D26377" w:rsidRDefault="00D26377" w:rsidP="005541E7"/>
    <w:p w14:paraId="7352BE10" w14:textId="77777777" w:rsidR="00D26377" w:rsidRDefault="00D26377" w:rsidP="005541E7"/>
    <w:p w14:paraId="1CDB8911" w14:textId="77777777" w:rsidR="00D26377" w:rsidRDefault="00D26377" w:rsidP="005541E7"/>
    <w:p w14:paraId="29FFC4A3" w14:textId="77777777" w:rsidR="00D26377" w:rsidRDefault="00D26377" w:rsidP="005541E7"/>
    <w:p w14:paraId="09B6F91D" w14:textId="77777777" w:rsidR="00D26377" w:rsidRDefault="00D26377" w:rsidP="005541E7"/>
    <w:p w14:paraId="781D23E2" w14:textId="77777777" w:rsidR="00D26377" w:rsidRDefault="00D26377" w:rsidP="005541E7"/>
    <w:p w14:paraId="5FCA777F" w14:textId="77777777" w:rsidR="00D26377" w:rsidRDefault="00D26377" w:rsidP="005541E7"/>
    <w:p w14:paraId="2C74F82C" w14:textId="77777777" w:rsidR="00D26377" w:rsidRDefault="00D26377" w:rsidP="005541E7"/>
    <w:p w14:paraId="1BDD98C3" w14:textId="77777777" w:rsidR="00D26377" w:rsidRDefault="00D26377" w:rsidP="005541E7"/>
    <w:p w14:paraId="16FCED2B" w14:textId="77777777" w:rsidR="00D26377" w:rsidRDefault="00D26377" w:rsidP="005541E7"/>
    <w:p w14:paraId="61D5E4FA" w14:textId="77777777" w:rsidR="00D26377" w:rsidRDefault="00D26377" w:rsidP="005541E7"/>
    <w:p w14:paraId="4F31922B" w14:textId="77777777" w:rsidR="00D26377" w:rsidRPr="005541E7" w:rsidRDefault="00D26377" w:rsidP="005541E7"/>
    <w:sectPr w:rsidR="00D26377" w:rsidRPr="005541E7" w:rsidSect="00671E5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7AA9" w14:textId="77777777" w:rsidR="00A6690A" w:rsidRDefault="00A6690A" w:rsidP="00EF03E3">
      <w:pPr>
        <w:spacing w:after="0" w:line="240" w:lineRule="auto"/>
      </w:pPr>
      <w:r>
        <w:separator/>
      </w:r>
    </w:p>
  </w:endnote>
  <w:endnote w:type="continuationSeparator" w:id="0">
    <w:p w14:paraId="4362B244" w14:textId="77777777" w:rsidR="00A6690A" w:rsidRDefault="00A6690A" w:rsidP="00EF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2E0A" w14:textId="77777777" w:rsidR="00A6690A" w:rsidRDefault="00A6690A" w:rsidP="00EF03E3">
      <w:pPr>
        <w:spacing w:after="0" w:line="240" w:lineRule="auto"/>
      </w:pPr>
      <w:r>
        <w:separator/>
      </w:r>
    </w:p>
  </w:footnote>
  <w:footnote w:type="continuationSeparator" w:id="0">
    <w:p w14:paraId="0990EE99" w14:textId="77777777" w:rsidR="00A6690A" w:rsidRDefault="00A6690A" w:rsidP="00EF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5AA6" w14:textId="6501A7FB" w:rsidR="00EF03E3" w:rsidRPr="00EF03E3" w:rsidRDefault="00EF03E3">
    <w:pPr>
      <w:pStyle w:val="Header"/>
      <w:rPr>
        <w:b/>
        <w:bCs/>
        <w:sz w:val="28"/>
        <w:szCs w:val="36"/>
      </w:rPr>
    </w:pPr>
    <w:r w:rsidRPr="00EF03E3">
      <w:rPr>
        <w:b/>
        <w:bCs/>
        <w:sz w:val="28"/>
        <w:szCs w:val="36"/>
      </w:rPr>
      <w:t>Monetary Policy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EF"/>
    <w:rsid w:val="00096AAE"/>
    <w:rsid w:val="00116222"/>
    <w:rsid w:val="0018758A"/>
    <w:rsid w:val="001938AB"/>
    <w:rsid w:val="001E34EF"/>
    <w:rsid w:val="001F60FC"/>
    <w:rsid w:val="002956F0"/>
    <w:rsid w:val="002A7600"/>
    <w:rsid w:val="002C4D01"/>
    <w:rsid w:val="003E6C30"/>
    <w:rsid w:val="004452D0"/>
    <w:rsid w:val="0047288B"/>
    <w:rsid w:val="0048253B"/>
    <w:rsid w:val="004F30A5"/>
    <w:rsid w:val="00516455"/>
    <w:rsid w:val="00517C33"/>
    <w:rsid w:val="005541E7"/>
    <w:rsid w:val="0057053E"/>
    <w:rsid w:val="005A37A1"/>
    <w:rsid w:val="005B3629"/>
    <w:rsid w:val="00671E5A"/>
    <w:rsid w:val="0071570F"/>
    <w:rsid w:val="00724FF5"/>
    <w:rsid w:val="007253CC"/>
    <w:rsid w:val="0073248F"/>
    <w:rsid w:val="007A3DBD"/>
    <w:rsid w:val="007B165A"/>
    <w:rsid w:val="007C71B3"/>
    <w:rsid w:val="007D2B23"/>
    <w:rsid w:val="00823F53"/>
    <w:rsid w:val="008D7AC9"/>
    <w:rsid w:val="009031F5"/>
    <w:rsid w:val="00943852"/>
    <w:rsid w:val="00977A1D"/>
    <w:rsid w:val="00995C69"/>
    <w:rsid w:val="009B6459"/>
    <w:rsid w:val="00A02601"/>
    <w:rsid w:val="00A464C3"/>
    <w:rsid w:val="00A468D5"/>
    <w:rsid w:val="00A6690A"/>
    <w:rsid w:val="00AC5E60"/>
    <w:rsid w:val="00B52648"/>
    <w:rsid w:val="00B66910"/>
    <w:rsid w:val="00CC310A"/>
    <w:rsid w:val="00D26377"/>
    <w:rsid w:val="00D2799A"/>
    <w:rsid w:val="00D33BDA"/>
    <w:rsid w:val="00D34A82"/>
    <w:rsid w:val="00D47081"/>
    <w:rsid w:val="00D55870"/>
    <w:rsid w:val="00D57FC3"/>
    <w:rsid w:val="00D942BB"/>
    <w:rsid w:val="00DA42A1"/>
    <w:rsid w:val="00DB43AA"/>
    <w:rsid w:val="00DC1A3E"/>
    <w:rsid w:val="00E94B73"/>
    <w:rsid w:val="00EF03E3"/>
    <w:rsid w:val="00F0312F"/>
    <w:rsid w:val="00F35C19"/>
    <w:rsid w:val="00F7556F"/>
    <w:rsid w:val="00F91298"/>
    <w:rsid w:val="00FA2D3A"/>
    <w:rsid w:val="00FA67A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A133"/>
  <w15:chartTrackingRefBased/>
  <w15:docId w15:val="{03E13921-BDAF-4FFB-B7FB-62EC392F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B23"/>
    <w:rPr>
      <w:color w:val="808080"/>
    </w:rPr>
  </w:style>
  <w:style w:type="paragraph" w:styleId="Header">
    <w:name w:val="header"/>
    <w:basedOn w:val="Normal"/>
    <w:link w:val="HeaderChar"/>
    <w:uiPriority w:val="99"/>
    <w:unhideWhenUsed/>
    <w:rsid w:val="00EF0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3E3"/>
    <w:rPr>
      <w:rFonts w:cs="Vrinda"/>
    </w:rPr>
  </w:style>
  <w:style w:type="paragraph" w:styleId="Footer">
    <w:name w:val="footer"/>
    <w:basedOn w:val="Normal"/>
    <w:link w:val="FooterChar"/>
    <w:uiPriority w:val="99"/>
    <w:unhideWhenUsed/>
    <w:rsid w:val="00EF0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3E3"/>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5064158646836"/>
          <c:y val="0.14718253968253969"/>
          <c:w val="0.7570271945173519"/>
          <c:h val="0.51508811398575183"/>
        </c:manualLayout>
      </c:layout>
      <c:barChart>
        <c:barDir val="bar"/>
        <c:grouping val="stacked"/>
        <c:varyColors val="0"/>
        <c:ser>
          <c:idx val="0"/>
          <c:order val="0"/>
          <c:tx>
            <c:strRef>
              <c:f>Sheet1!$B$1</c:f>
              <c:strCache>
                <c:ptCount val="1"/>
                <c:pt idx="0">
                  <c:v>Marine sprite(%)</c:v>
                </c:pt>
              </c:strCache>
            </c:strRef>
          </c:tx>
          <c:spPr>
            <a:solidFill>
              <a:schemeClr val="accent1"/>
            </a:soli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0.31</c:v>
                </c:pt>
                <c:pt idx="1">
                  <c:v>0.45</c:v>
                </c:pt>
                <c:pt idx="2">
                  <c:v>0.38</c:v>
                </c:pt>
                <c:pt idx="3">
                  <c:v>0.27</c:v>
                </c:pt>
                <c:pt idx="4">
                  <c:v>0.27</c:v>
                </c:pt>
                <c:pt idx="5">
                  <c:v>0.33</c:v>
                </c:pt>
                <c:pt idx="6">
                  <c:v>0.24</c:v>
                </c:pt>
              </c:numCache>
            </c:numRef>
          </c:val>
          <c:extLst>
            <c:ext xmlns:c16="http://schemas.microsoft.com/office/drawing/2014/chart" uri="{C3380CC4-5D6E-409C-BE32-E72D297353CC}">
              <c16:uniqueId val="{00000000-50FF-4FD6-AB3E-C20DE3B2F997}"/>
            </c:ext>
          </c:extLst>
        </c:ser>
        <c:ser>
          <c:idx val="1"/>
          <c:order val="1"/>
          <c:tx>
            <c:strRef>
              <c:f>Sheet1!$C$1</c:f>
              <c:strCache>
                <c:ptCount val="1"/>
                <c:pt idx="0">
                  <c:v>striking calf(%)</c:v>
                </c:pt>
              </c:strCache>
            </c:strRef>
          </c:tx>
          <c:spPr>
            <a:solidFill>
              <a:schemeClr val="accent2"/>
            </a:soli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0.37</c:v>
                </c:pt>
                <c:pt idx="1">
                  <c:v>0.26</c:v>
                </c:pt>
                <c:pt idx="2">
                  <c:v>0.3</c:v>
                </c:pt>
                <c:pt idx="3">
                  <c:v>0.38</c:v>
                </c:pt>
                <c:pt idx="4">
                  <c:v>0.16</c:v>
                </c:pt>
                <c:pt idx="5">
                  <c:v>0.33</c:v>
                </c:pt>
                <c:pt idx="6">
                  <c:v>0.37</c:v>
                </c:pt>
              </c:numCache>
            </c:numRef>
          </c:val>
          <c:extLst>
            <c:ext xmlns:c16="http://schemas.microsoft.com/office/drawing/2014/chart" uri="{C3380CC4-5D6E-409C-BE32-E72D297353CC}">
              <c16:uniqueId val="{00000001-50FF-4FD6-AB3E-C20DE3B2F997}"/>
            </c:ext>
          </c:extLst>
        </c:ser>
        <c:ser>
          <c:idx val="2"/>
          <c:order val="2"/>
          <c:tx>
            <c:strRef>
              <c:f>Sheet1!$D$1</c:f>
              <c:strCache>
                <c:ptCount val="1"/>
                <c:pt idx="0">
                  <c:v>tank picture(%)</c:v>
                </c:pt>
              </c:strCache>
            </c:strRef>
          </c:tx>
          <c:spPr>
            <a:solidFill>
              <a:schemeClr val="accent3"/>
            </a:soli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extLst>
            <c:ext xmlns:c16="http://schemas.microsoft.com/office/drawing/2014/chart" uri="{C3380CC4-5D6E-409C-BE32-E72D297353CC}">
              <c16:uniqueId val="{00000002-50FF-4FD6-AB3E-C20DE3B2F997}"/>
            </c:ext>
          </c:extLst>
        </c:ser>
        <c:ser>
          <c:idx val="3"/>
          <c:order val="3"/>
          <c:tx>
            <c:strRef>
              <c:f>Sheet1!$E$1</c:f>
              <c:strCache>
                <c:ptCount val="1"/>
                <c:pt idx="0">
                  <c:v>Bucket slope(%)</c:v>
                </c:pt>
              </c:strCache>
            </c:strRef>
          </c:tx>
          <c:spPr>
            <a:solidFill>
              <a:schemeClr val="accent4"/>
            </a:soli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0.06</c:v>
                </c:pt>
                <c:pt idx="1">
                  <c:v>0.06</c:v>
                </c:pt>
                <c:pt idx="2">
                  <c:v>0.05</c:v>
                </c:pt>
                <c:pt idx="3">
                  <c:v>0.06</c:v>
                </c:pt>
                <c:pt idx="4">
                  <c:v>7.0000000000000007E-2</c:v>
                </c:pt>
                <c:pt idx="5">
                  <c:v>7.0000000000000007E-2</c:v>
                </c:pt>
                <c:pt idx="6">
                  <c:v>0.05</c:v>
                </c:pt>
              </c:numCache>
            </c:numRef>
          </c:val>
          <c:extLst>
            <c:ext xmlns:c16="http://schemas.microsoft.com/office/drawing/2014/chart" uri="{C3380CC4-5D6E-409C-BE32-E72D297353CC}">
              <c16:uniqueId val="{00000004-50FF-4FD6-AB3E-C20DE3B2F997}"/>
            </c:ext>
          </c:extLst>
        </c:ser>
        <c:ser>
          <c:idx val="4"/>
          <c:order val="4"/>
          <c:tx>
            <c:strRef>
              <c:f>Sheet1!$F$1</c:f>
              <c:strCache>
                <c:ptCount val="1"/>
                <c:pt idx="0">
                  <c:v>Reborn kid(%)</c:v>
                </c:pt>
              </c:strCache>
            </c:strRef>
          </c:tx>
          <c:spPr>
            <a:solidFill>
              <a:schemeClr val="accent5"/>
            </a:solidFill>
            <a:ln>
              <a:noFill/>
            </a:ln>
            <a:effectLst/>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0.17</c:v>
                </c:pt>
                <c:pt idx="1">
                  <c:v>0.1</c:v>
                </c:pt>
                <c:pt idx="2">
                  <c:v>0.01</c:v>
                </c:pt>
                <c:pt idx="3">
                  <c:v>0.23</c:v>
                </c:pt>
                <c:pt idx="4">
                  <c:v>0.31</c:v>
                </c:pt>
                <c:pt idx="5">
                  <c:v>0.18</c:v>
                </c:pt>
                <c:pt idx="6">
                  <c:v>0.11</c:v>
                </c:pt>
              </c:numCache>
            </c:numRef>
          </c:val>
          <c:extLst>
            <c:ext xmlns:c16="http://schemas.microsoft.com/office/drawing/2014/chart" uri="{C3380CC4-5D6E-409C-BE32-E72D297353CC}">
              <c16:uniqueId val="{00000005-50FF-4FD6-AB3E-C20DE3B2F997}"/>
            </c:ext>
          </c:extLst>
        </c:ser>
        <c:dLbls>
          <c:showLegendKey val="0"/>
          <c:showVal val="0"/>
          <c:showCatName val="0"/>
          <c:showSerName val="0"/>
          <c:showPercent val="0"/>
          <c:showBubbleSize val="0"/>
        </c:dLbls>
        <c:gapWidth val="182"/>
        <c:overlap val="100"/>
        <c:axId val="1763159424"/>
        <c:axId val="1763160672"/>
      </c:barChart>
      <c:catAx>
        <c:axId val="17631594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160672"/>
        <c:crosses val="autoZero"/>
        <c:auto val="1"/>
        <c:lblAlgn val="ctr"/>
        <c:lblOffset val="100"/>
        <c:noMultiLvlLbl val="0"/>
      </c:catAx>
      <c:valAx>
        <c:axId val="176316067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159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59</cp:revision>
  <dcterms:created xsi:type="dcterms:W3CDTF">2024-12-06T09:48:00Z</dcterms:created>
  <dcterms:modified xsi:type="dcterms:W3CDTF">2024-12-06T11:32:00Z</dcterms:modified>
</cp:coreProperties>
</file>