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System &amp; Architecture Design Document (SDD)</w:t>
      </w:r>
    </w:p>
    <w:p>
      <w:pPr>
        <w:pStyle w:val="Heading2"/>
        <w:spacing w:after="300"/>
      </w:pPr>
      <w:r>
        <w:t xml:space="preserve">Etel Delivery &amp; Ride Platform</w:t>
      </w:r>
    </w:p>
    <w:p>
      <w:pPr>
        <w:spacing w:after="120"/>
      </w:pPr>
      <w:r>
        <w:t xml:space="preserve">Version: 1.0  |  Prepared for: INSA Security Audit Submission (via Hibir Platform)</w:t>
      </w:r>
    </w:p>
    <w:p>
      <w:pPr>
        <w:spacing w:after="120"/>
      </w:pPr>
      <w:r>
        <w:t xml:space="preserve">Companion document to the Software Requirements Specification (SRS) and Technical Specifications (TDD/LLD). Architecture diagrams (context DFD, detailed DFD, system architecture, ERD) referenced in this document are already produced in docs/INSA_Audit_Package_Etel_Delivery_Ride.docx and are incorporated here by reference; this SDD adds the standalone module/data/interface detail Hibir's Document Requirements checklist expects separately from that submission package.</w:t>
      </w:r>
    </w:p>
    <w:p>
      <w:r>
        <w:br w:type="page"/>
      </w:r>
    </w:p>
    <w:p>
      <w:pPr>
        <w:pStyle w:val="Heading1"/>
        <w:spacing w:after="150" w:before="300"/>
      </w:pPr>
      <w:r>
        <w:t xml:space="preserve">1. Architectural Overview</w:t>
      </w:r>
    </w:p>
    <w:p>
      <w:pPr>
        <w:spacing w:after="120"/>
      </w:pPr>
      <w:r>
        <w:t xml:space="preserve">Etel Delivery &amp; Ride follows a single-entrypoint, controller-dispatch architecture: every client request (from any of the six front-end applications, or from server-to-server integrations) is routed through one file, api/boot.php, which authenticates the caller (bearer token or shared service key), then dispatches by an 'action' name to one of 17 controller classes under api/controllers/. There is no separate framework/router layer — routing, auth, and cross-cutting concerns (rate limiting, CORS, error logging) are implemented directly in boot.php and shared helper libraries under api/lib/.</w:t>
      </w:r>
    </w:p>
    <w:p>
      <w:pPr>
        <w:pStyle w:val="Heading2"/>
        <w:spacing w:after="120" w:before="250"/>
      </w:pPr>
      <w:r>
        <w:t xml:space="preserve">1.1 High-Level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2A1A" w:color="auto" w:val="clear"/>
            <w:tcMar>
              <w:top w:type="dxa" w:w="70"/>
              <w:left w:type="dxa" w:w="90"/>
              <w:bottom w:type="dxa" w:w="70"/>
              <w:right w:type="dxa" w:w="90"/>
            </w:tcMar>
          </w:tcPr>
          <w:p>
            <w:r>
              <w:rPr>
                <w:b/>
                <w:bCs/>
                <w:color w:val="FFFFFF"/>
                <w:sz w:val="19"/>
                <w:szCs w:val="19"/>
              </w:rPr>
              <w:t xml:space="preserve">Component</w:t>
            </w:r>
          </w:p>
        </w:tc>
        <w:tc>
          <w:tcPr>
            <w:tcW w:type="dxa" w:w="6400"/>
            <w:shd w:fill="1F2A1A" w:color="auto" w:val="clear"/>
            <w:tcMar>
              <w:top w:type="dxa" w:w="70"/>
              <w:left w:type="dxa" w:w="90"/>
              <w:bottom w:type="dxa" w:w="70"/>
              <w:right w:type="dxa" w:w="90"/>
            </w:tcMar>
          </w:tcPr>
          <w:p>
            <w:r>
              <w:rPr>
                <w:b/>
                <w:bCs/>
                <w:color w:val="FFFFFF"/>
                <w:sz w:val="19"/>
                <w:szCs w:val="19"/>
              </w:rPr>
              <w:t xml:space="preserve">Responsibility</w:t>
            </w:r>
          </w:p>
        </w:tc>
      </w:tr>
      <w:tr>
        <w:tc>
          <w:tcPr>
            <w:tcW w:type="dxa" w:w="2600"/>
            <w:tcMar>
              <w:top w:type="dxa" w:w="70"/>
              <w:left w:type="dxa" w:w="90"/>
              <w:bottom w:type="dxa" w:w="70"/>
              <w:right w:type="dxa" w:w="90"/>
            </w:tcMar>
          </w:tcPr>
          <w:p>
            <w:r>
              <w:rPr>
                <w:b w:val="false"/>
                <w:bCs w:val="false"/>
                <w:color w:val="000000"/>
                <w:sz w:val="19"/>
                <w:szCs w:val="19"/>
              </w:rPr>
              <w:t xml:space="preserve">api/boot.php</w:t>
            </w:r>
          </w:p>
        </w:tc>
        <w:tc>
          <w:tcPr>
            <w:tcW w:type="dxa" w:w="6400"/>
            <w:tcMar>
              <w:top w:type="dxa" w:w="70"/>
              <w:left w:type="dxa" w:w="90"/>
              <w:bottom w:type="dxa" w:w="70"/>
              <w:right w:type="dxa" w:w="90"/>
            </w:tcMar>
          </w:tcPr>
          <w:p>
            <w:r>
              <w:rPr>
                <w:b w:val="false"/>
                <w:bCs w:val="false"/>
                <w:color w:val="000000"/>
                <w:sz w:val="19"/>
                <w:szCs w:val="19"/>
              </w:rPr>
              <w:t xml:space="preserve">Single dispatch entrypoint: request parsing, auth (token or service key), rate limiting, action routing to controllers, ~31 inline actions (ping, config, admin quick-reads, SSE streams, password reset)</w:t>
            </w:r>
          </w:p>
        </w:tc>
      </w:tr>
      <w:tr>
        <w:tc>
          <w:tcPr>
            <w:tcW w:type="dxa" w:w="2600"/>
            <w:tcMar>
              <w:top w:type="dxa" w:w="70"/>
              <w:left w:type="dxa" w:w="90"/>
              <w:bottom w:type="dxa" w:w="70"/>
              <w:right w:type="dxa" w:w="90"/>
            </w:tcMar>
          </w:tcPr>
          <w:p>
            <w:r>
              <w:rPr>
                <w:b w:val="false"/>
                <w:bCs w:val="false"/>
                <w:color w:val="000000"/>
                <w:sz w:val="19"/>
                <w:szCs w:val="19"/>
              </w:rPr>
              <w:t xml:space="preserve">api/controllers/*.php (17 files)</w:t>
            </w:r>
          </w:p>
        </w:tc>
        <w:tc>
          <w:tcPr>
            <w:tcW w:type="dxa" w:w="6400"/>
            <w:tcMar>
              <w:top w:type="dxa" w:w="70"/>
              <w:left w:type="dxa" w:w="90"/>
              <w:bottom w:type="dxa" w:w="70"/>
              <w:right w:type="dxa" w:w="90"/>
            </w:tcMar>
          </w:tcPr>
          <w:p>
            <w:r>
              <w:rPr>
                <w:b w:val="false"/>
                <w:bCs w:val="false"/>
                <w:color w:val="000000"/>
                <w:sz w:val="19"/>
                <w:szCs w:val="19"/>
              </w:rPr>
              <w:t xml:space="preserve">Business logic grouped by domain (Auth, Order, Ride, ServiceGiver, Admin, Equity, Equb, Planning, PlatformEconomics, Agent, Nfc, Documents, SystemReset, DriverFuel, CourierFuel, Push, InvestorPortal)</w:t>
            </w:r>
          </w:p>
        </w:tc>
      </w:tr>
      <w:tr>
        <w:tc>
          <w:tcPr>
            <w:tcW w:type="dxa" w:w="2600"/>
            <w:tcMar>
              <w:top w:type="dxa" w:w="70"/>
              <w:left w:type="dxa" w:w="90"/>
              <w:bottom w:type="dxa" w:w="70"/>
              <w:right w:type="dxa" w:w="90"/>
            </w:tcMar>
          </w:tcPr>
          <w:p>
            <w:r>
              <w:rPr>
                <w:b w:val="false"/>
                <w:bCs w:val="false"/>
                <w:color w:val="000000"/>
                <w:sz w:val="19"/>
                <w:szCs w:val="19"/>
              </w:rPr>
              <w:t xml:space="preserve">api/lib/*.php</w:t>
            </w:r>
          </w:p>
        </w:tc>
        <w:tc>
          <w:tcPr>
            <w:tcW w:type="dxa" w:w="6400"/>
            <w:tcMar>
              <w:top w:type="dxa" w:w="70"/>
              <w:left w:type="dxa" w:w="90"/>
              <w:bottom w:type="dxa" w:w="70"/>
              <w:right w:type="dxa" w:w="90"/>
            </w:tcMar>
          </w:tcPr>
          <w:p>
            <w:r>
              <w:rPr>
                <w:b w:val="false"/>
                <w:bCs w:val="false"/>
                <w:color w:val="000000"/>
                <w:sz w:val="19"/>
                <w:szCs w:val="19"/>
              </w:rPr>
              <w:t xml:space="preserve">Shared helpers: delivery_pricing.php, ride_fare.php, hexgrid.php, schema_helpers.php, validate.php, app_releases.php</w:t>
            </w:r>
          </w:p>
        </w:tc>
      </w:tr>
      <w:tr>
        <w:tc>
          <w:tcPr>
            <w:tcW w:type="dxa" w:w="2600"/>
            <w:tcMar>
              <w:top w:type="dxa" w:w="70"/>
              <w:left w:type="dxa" w:w="90"/>
              <w:bottom w:type="dxa" w:w="70"/>
              <w:right w:type="dxa" w:w="90"/>
            </w:tcMar>
          </w:tcPr>
          <w:p>
            <w:r>
              <w:rPr>
                <w:b w:val="false"/>
                <w:bCs w:val="false"/>
                <w:color w:val="000000"/>
                <w:sz w:val="19"/>
                <w:szCs w:val="19"/>
              </w:rPr>
              <w:t xml:space="preserve">api/migrations/ + api/seeds/</w:t>
            </w:r>
          </w:p>
        </w:tc>
        <w:tc>
          <w:tcPr>
            <w:tcW w:type="dxa" w:w="6400"/>
            <w:tcMar>
              <w:top w:type="dxa" w:w="70"/>
              <w:left w:type="dxa" w:w="90"/>
              <w:bottom w:type="dxa" w:w="70"/>
              <w:right w:type="dxa" w:w="90"/>
            </w:tcMar>
          </w:tcPr>
          <w:p>
            <w:r>
              <w:rPr>
                <w:b w:val="false"/>
                <w:bCs w:val="false"/>
                <w:color w:val="000000"/>
                <w:sz w:val="19"/>
                <w:szCs w:val="19"/>
              </w:rPr>
              <w:t xml:space="preserve">Versioned schema evolution (001-057) and a full fresh-install schema dump (complete_migration.sql)</w:t>
            </w:r>
          </w:p>
        </w:tc>
      </w:tr>
      <w:tr>
        <w:tc>
          <w:tcPr>
            <w:tcW w:type="dxa" w:w="2600"/>
            <w:tcMar>
              <w:top w:type="dxa" w:w="70"/>
              <w:left w:type="dxa" w:w="90"/>
              <w:bottom w:type="dxa" w:w="70"/>
              <w:right w:type="dxa" w:w="90"/>
            </w:tcMar>
          </w:tcPr>
          <w:p>
            <w:r>
              <w:rPr>
                <w:b w:val="false"/>
                <w:bCs w:val="false"/>
                <w:color w:val="000000"/>
                <w:sz w:val="19"/>
                <w:szCs w:val="19"/>
              </w:rPr>
              <w:t xml:space="preserve">Front-end apps (6)</w:t>
            </w:r>
          </w:p>
        </w:tc>
        <w:tc>
          <w:tcPr>
            <w:tcW w:type="dxa" w:w="6400"/>
            <w:tcMar>
              <w:top w:type="dxa" w:w="70"/>
              <w:left w:type="dxa" w:w="90"/>
              <w:bottom w:type="dxa" w:w="70"/>
              <w:right w:type="dxa" w:w="90"/>
            </w:tcMar>
          </w:tcPr>
          <w:p>
            <w:r>
              <w:rPr>
                <w:b w:val="false"/>
                <w:bCs w:val="false"/>
                <w:color w:val="000000"/>
                <w:sz w:val="19"/>
                <w:szCs w:val="19"/>
              </w:rPr>
              <w:t xml:space="preserve">Customer/Delivery, Ride, Driver, Courier, Service Giver, Admin — each a PWA, individually versioned and installable as an Android TWA</w:t>
            </w:r>
          </w:p>
        </w:tc>
      </w:tr>
      <w:tr>
        <w:tc>
          <w:tcPr>
            <w:tcW w:type="dxa" w:w="2600"/>
            <w:tcMar>
              <w:top w:type="dxa" w:w="70"/>
              <w:left w:type="dxa" w:w="90"/>
              <w:bottom w:type="dxa" w:w="70"/>
              <w:right w:type="dxa" w:w="90"/>
            </w:tcMar>
          </w:tcPr>
          <w:p>
            <w:r>
              <w:rPr>
                <w:b w:val="false"/>
                <w:bCs w:val="false"/>
                <w:color w:val="000000"/>
                <w:sz w:val="19"/>
                <w:szCs w:val="19"/>
              </w:rPr>
              <w:t xml:space="preserve">sw.js (service worker)</w:t>
            </w:r>
          </w:p>
        </w:tc>
        <w:tc>
          <w:tcPr>
            <w:tcW w:type="dxa" w:w="6400"/>
            <w:tcMar>
              <w:top w:type="dxa" w:w="70"/>
              <w:left w:type="dxa" w:w="90"/>
              <w:bottom w:type="dxa" w:w="70"/>
              <w:right w:type="dxa" w:w="90"/>
            </w:tcMar>
          </w:tcPr>
          <w:p>
            <w:r>
              <w:rPr>
                <w:b w:val="false"/>
                <w:bCs w:val="false"/>
                <w:color w:val="000000"/>
                <w:sz w:val="19"/>
                <w:szCs w:val="19"/>
              </w:rPr>
              <w:t xml:space="preserve">Offline caching, install/activate lifecycle, cache versioning (CACHE_NAME)</w:t>
            </w:r>
          </w:p>
        </w:tc>
      </w:tr>
      <w:tr>
        <w:tc>
          <w:tcPr>
            <w:tcW w:type="dxa" w:w="2600"/>
            <w:tcMar>
              <w:top w:type="dxa" w:w="70"/>
              <w:left w:type="dxa" w:w="90"/>
              <w:bottom w:type="dxa" w:w="70"/>
              <w:right w:type="dxa" w:w="90"/>
            </w:tcMar>
          </w:tcPr>
          <w:p>
            <w:r>
              <w:rPr>
                <w:b w:val="false"/>
                <w:bCs w:val="false"/>
                <w:color w:val="000000"/>
                <w:sz w:val="19"/>
                <w:szCs w:val="19"/>
              </w:rPr>
              <w:t xml:space="preserve">EtelID (external)</w:t>
            </w:r>
          </w:p>
        </w:tc>
        <w:tc>
          <w:tcPr>
            <w:tcW w:type="dxa" w:w="6400"/>
            <w:tcMar>
              <w:top w:type="dxa" w:w="70"/>
              <w:left w:type="dxa" w:w="90"/>
              <w:bottom w:type="dxa" w:w="70"/>
              <w:right w:type="dxa" w:w="90"/>
            </w:tcMar>
          </w:tcPr>
          <w:p>
            <w:r>
              <w:rPr>
                <w:b w:val="false"/>
                <w:bCs w:val="false"/>
                <w:color w:val="000000"/>
                <w:sz w:val="19"/>
                <w:szCs w:val="19"/>
              </w:rPr>
              <w:t xml:space="preserve">Group-wide identity provider; SSO login, driver identity cross-check, NFC-tap bridge</w:t>
            </w:r>
          </w:p>
        </w:tc>
      </w:tr>
      <w:tr>
        <w:tc>
          <w:tcPr>
            <w:tcW w:type="dxa" w:w="2600"/>
            <w:tcMar>
              <w:top w:type="dxa" w:w="70"/>
              <w:left w:type="dxa" w:w="90"/>
              <w:bottom w:type="dxa" w:w="70"/>
              <w:right w:type="dxa" w:w="90"/>
            </w:tcMar>
          </w:tcPr>
          <w:p>
            <w:r>
              <w:rPr>
                <w:b w:val="false"/>
                <w:bCs w:val="false"/>
                <w:color w:val="000000"/>
                <w:sz w:val="19"/>
                <w:szCs w:val="19"/>
              </w:rPr>
              <w:t xml:space="preserve">EtelPay (external)</w:t>
            </w:r>
          </w:p>
        </w:tc>
        <w:tc>
          <w:tcPr>
            <w:tcW w:type="dxa" w:w="6400"/>
            <w:tcMar>
              <w:top w:type="dxa" w:w="70"/>
              <w:left w:type="dxa" w:w="90"/>
              <w:bottom w:type="dxa" w:w="70"/>
              <w:right w:type="dxa" w:w="90"/>
            </w:tcMar>
          </w:tcPr>
          <w:p>
            <w:r>
              <w:rPr>
                <w:b w:val="false"/>
                <w:bCs w:val="false"/>
                <w:color w:val="000000"/>
                <w:sz w:val="19"/>
                <w:szCs w:val="19"/>
              </w:rPr>
              <w:t xml:space="preserve">Wallet/payment app; verifies driver Etel Money top-up transactions</w:t>
            </w:r>
          </w:p>
        </w:tc>
      </w:tr>
    </w:tbl>
    <w:p>
      <w:pPr>
        <w:pStyle w:val="Heading2"/>
        <w:spacing w:after="120" w:before="250"/>
      </w:pPr>
      <w:r>
        <w:t xml:space="preserve">1.2 Business Architecture Diagrams (by reference)</w:t>
      </w:r>
    </w:p>
    <w:p>
      <w:pPr>
        <w:spacing w:after="120"/>
      </w:pPr>
      <w:r>
        <w:t xml:space="preserve">The following diagrams are already produced and embedded in docs/INSA_Audit_Package_Etel_Delivery_Ride.docx, Section 4 (Business Architecture):</w:t>
      </w:r>
    </w:p>
    <w:p>
      <w:pPr>
        <w:pStyle w:val="ListParagraph"/>
        <w:numPr>
          <w:ilvl w:val="0"/>
          <w:numId w:val="1"/>
        </w:numPr>
        <w:spacing w:after="60"/>
      </w:pPr>
      <w:r>
        <w:t xml:space="preserve">Context DFD — the system's boundary and its external actors (Customer, Courier, Driver, Service Giver, Admin, EtelID, EtelPay, Telebirr/Banks)</w:t>
      </w:r>
    </w:p>
    <w:p>
      <w:pPr>
        <w:pStyle w:val="ListParagraph"/>
        <w:numPr>
          <w:ilvl w:val="0"/>
          <w:numId w:val="1"/>
        </w:numPr>
        <w:spacing w:after="60"/>
      </w:pPr>
      <w:r>
        <w:t xml:space="preserve">Detailed DFD — data flows between the front-end apps, api/boot.php, controllers, and the database</w:t>
      </w:r>
    </w:p>
    <w:p>
      <w:pPr>
        <w:pStyle w:val="ListParagraph"/>
        <w:numPr>
          <w:ilvl w:val="0"/>
          <w:numId w:val="1"/>
        </w:numPr>
        <w:spacing w:after="60"/>
      </w:pPr>
      <w:r>
        <w:t xml:space="preserve">System Architecture diagram — deployment topology on shared cPanel hosting</w:t>
      </w:r>
    </w:p>
    <w:p>
      <w:pPr>
        <w:pStyle w:val="ListParagraph"/>
        <w:numPr>
          <w:ilvl w:val="0"/>
          <w:numId w:val="1"/>
        </w:numPr>
        <w:spacing w:after="60"/>
      </w:pPr>
      <w:r>
        <w:t xml:space="preserve">Entity-Relationship Diagram (ERD) — core schema relationships</w:t>
      </w:r>
    </w:p>
    <w:p>
      <w:pPr>
        <w:spacing w:after="120"/>
      </w:pPr>
      <w:r>
        <w:t xml:space="preserve">These are not reproduced again here to avoid divergence between two copies of the same diagrams; refer to the INSA package for the visual artifacts. Section 3 of this SDD restates the entity relationships in tabular form for quick reference.</w:t>
      </w:r>
    </w:p>
    <w:p>
      <w:r>
        <w:br w:type="page"/>
      </w:r>
    </w:p>
    <w:p>
      <w:pPr>
        <w:pStyle w:val="Heading1"/>
        <w:spacing w:after="150" w:before="300"/>
      </w:pPr>
      <w:r>
        <w:t xml:space="preserve">2. Module Design</w:t>
      </w:r>
    </w:p>
    <w:p>
      <w:pPr>
        <w:spacing w:after="120"/>
      </w:pPr>
      <w:r>
        <w:t xml:space="preserve">Each controller is a self-contained module operating on a defined subset of the schema. Full per-action detail (all ~325 actions with HTTP method and exact access level) is in the TDD/LLD API Contracts document; this section describes each module's responsibility and internal design decisions.</w:t>
      </w:r>
    </w:p>
    <w:p>
      <w:pPr>
        <w:pStyle w:val="Heading2"/>
        <w:spacing w:after="120" w:before="250"/>
      </w:pPr>
      <w:r>
        <w:t xml:space="preserve">2.1 AuthController — Identity &amp; Session</w:t>
      </w:r>
    </w:p>
    <w:p>
      <w:pPr>
        <w:spacing w:after="120"/>
      </w:pPr>
      <w:r>
        <w:t xml:space="preserve">Handles register, login, sg_login, etelid_login, admin_etelid_login, change_password. Implements a custom bearer-token scheme (not PHP sessions, not JWT): gen_token()/verify_token() in boot.php produce an HMAC-SHA256-signed token embedding user_id, issued_at, and a token_version counter, giving immediate server-side revocation on logout or password change without a token blacklist table.</w:t>
      </w:r>
    </w:p>
    <w:p>
      <w:pPr>
        <w:pStyle w:val="Heading2"/>
        <w:spacing w:after="120" w:before="250"/>
      </w:pPr>
      <w:r>
        <w:t xml:space="preserve">2.2 OrderController — Delivery Order Lifecycle</w:t>
      </w:r>
    </w:p>
    <w:p>
      <w:pPr>
        <w:spacing w:after="120"/>
      </w:pPr>
      <w:r>
        <w:t xml:space="preserve">47 actions covering the full delivery order lifecycle: creation, courier assignment, pickup/delivery confirmation handshakes, payment (cash/Telebirr/bank), ratings, issues, scheduling, favorites, and service-giver-facing financial reporting for orders. Design note: pickup and delivery confirmation are modeled as a two-party request/response pair (courier requests, the counterparty — SG or customer — confirms) rather than a single courier-asserted status write, specifically to prevent a courier from unilaterally marking an order delivered without counterparty acknowledgement.</w:t>
      </w:r>
    </w:p>
    <w:p>
      <w:pPr>
        <w:pStyle w:val="Heading2"/>
        <w:spacing w:after="120" w:before="250"/>
      </w:pPr>
      <w:r>
        <w:t xml:space="preserve">2.3 RideController — Ride-Hailing Lifecycle</w:t>
      </w:r>
    </w:p>
    <w:p>
      <w:pPr>
        <w:spacing w:after="120"/>
      </w:pPr>
      <w:r>
        <w:t xml:space="preserve">The largest module (65 actions, ~210KB). Covers fare estimation and locking, nearby-driver discovery (hex-grid matching), booking, the full driver-side state machine (accept → arrived → start → complete), cancellation, rating, in-ride chat, live GPS path tracking, SOS, favorite routes, scheduled rides, driver earnings/cashout/Etel Money top-up, driver compliance documents, and driver vehicle-change requests. Design note: rides_require_onboarded() is a single shared gate function applied to every driver-privileged action, added specifically so that onboarding-completeness is enforced in exactly one place rather than duplicated per action (see INSA_FINDINGS.md §1 for the audit finding that led to this).</w:t>
      </w:r>
    </w:p>
    <w:p>
      <w:pPr>
        <w:pStyle w:val="Heading2"/>
        <w:spacing w:after="120" w:before="250"/>
      </w:pPr>
      <w:r>
        <w:t xml:space="preserve">2.4 ServiceGiverController — Storefront Operations</w:t>
      </w:r>
    </w:p>
    <w:p>
      <w:pPr>
        <w:spacing w:after="120"/>
      </w:pPr>
      <w:r>
        <w:t xml:space="preserve">28 actions: profile/business settings, order fulfillment (accept → prepare → QR-scan handoff → complete), item/menu CRUD (with Amharic localization fields), staff management (sg_staff fixed roles plus sg_roles custom roles), financial reporting, and payout request + admin review.</w:t>
      </w:r>
    </w:p>
    <w:p>
      <w:pPr>
        <w:pStyle w:val="Heading2"/>
        <w:spacing w:after="120" w:before="250"/>
      </w:pPr>
      <w:r>
        <w:t xml:space="preserve">2.5 AdminController — Platform Operations</w:t>
      </w:r>
    </w:p>
    <w:p>
      <w:pPr>
        <w:spacing w:after="120"/>
      </w:pPr>
      <w:r>
        <w:t xml:space="preserve">73 actions, the platform's control surface. Every action is gated through require_admin($pdo, 'capability'), checking both the admin role and a specific capability string against the role_permissions table — so 'admin' is not a monolithic privilege level but a role further scoped by granted capabilities (e.g. a support-only admin may hold orders.manage but not finance.view or owner.only). Covers: users/items/service-givers/orders/couriers CRUD, ride fare-rule and pricing configuration, delivery-zone and delivery-tier CRUD, announcements, the launch checklist, ride/order issue resolution, SOS alert resolution, Etel Money top-up approval, and role-permission administration itself.</w:t>
      </w:r>
    </w:p>
    <w:p>
      <w:pPr>
        <w:pStyle w:val="Heading2"/>
        <w:spacing w:after="120" w:before="250"/>
      </w:pPr>
      <w:r>
        <w:t xml:space="preserve">2.6 EquityController / PlatformEconomicsController / PlanningController — Finance &amp; Planning Hub</w:t>
      </w:r>
    </w:p>
    <w:p>
      <w:pPr>
        <w:spacing w:after="120"/>
      </w:pPr>
      <w:r>
        <w:t xml:space="preserve">Consolidated under a single admin nav entry with 5 lazily-loaded sub-panels (Equity, Platform Economics, Payroll, Business Plan, Reset). EquityController (18 actions) manages the investor cap table and profit-distribution preview/execution. PlatformEconomicsController (6 actions) manages cost/growth assumptions feeding platform-economics summaries. PlanningController (7 actions) manages the hiring-plan tool. Each sub-panel is independently capability-gated (equity.view, platform_economics.view, planning.view) except Payroll, which is open to any admin.</w:t>
      </w:r>
    </w:p>
    <w:p>
      <w:pPr>
        <w:pStyle w:val="Heading2"/>
        <w:spacing w:after="120" w:before="250"/>
      </w:pPr>
      <w:r>
        <w:t xml:space="preserve">2.7 EqubController — Rotating Savings</w:t>
      </w:r>
    </w:p>
    <w:p>
      <w:pPr>
        <w:spacing w:after="120"/>
      </w:pPr>
      <w:r>
        <w:t xml:space="preserve">19 actions implementing a traditional Ethiopian Equb (rotating savings group) as a driver/courier benefit: group create/join/leave/start, package selection, contribution tracking, payout rounds, plus admin-side participant/access management and forced round processing.</w:t>
      </w:r>
    </w:p>
    <w:p>
      <w:pPr>
        <w:pStyle w:val="Heading2"/>
        <w:spacing w:after="120" w:before="250"/>
      </w:pPr>
      <w:r>
        <w:t xml:space="preserve">2.8 AgentController — EtelAI Integration</w:t>
      </w:r>
    </w:p>
    <w:p>
      <w:pPr>
        <w:spacing w:after="120"/>
      </w:pPr>
      <w:r>
        <w:t xml:space="preserve">9 actions (agent_find_and_quote, agent_search_items, agent_order_quote, agent_place_order, agent_ride_quote, agent_book_ride, agent_ride_status, agent_cancel_ride, agent_order_status). Every action requires a shared service key (constant-time hash_equals() check against ETELID_SERVICE_KEY); member-specific actions additionally resolve a real etel_sso_token to a specific local user, so a bearer token alone cannot reach these actions and a service key alone cannot impersonate a specific member without a valid SSO token.</w:t>
      </w:r>
    </w:p>
    <w:p>
      <w:pPr>
        <w:pStyle w:val="Heading2"/>
        <w:spacing w:after="120" w:before="250"/>
      </w:pPr>
      <w:r>
        <w:t xml:space="preserve">2.9 NfcController — EtelID NFC Bridge</w:t>
      </w:r>
    </w:p>
    <w:p>
      <w:pPr>
        <w:spacing w:after="120"/>
      </w:pPr>
      <w:r>
        <w:t xml:space="preserve">5 actions (nfc_driver_status, nfc_start_ride, nfc_list_courier_orders, nfc_confirm_pickup, nfc_confirm_delivery), all gated only by the shared service key with no independent role check — this is a deliberate design choice mirroring AgentController, trusting that EtelID has already verified the scanning party's role (e.g. a Traffic Officer) before calling in. Documented and accepted in INSA_FINDINGS.md §10.</w:t>
      </w:r>
    </w:p>
    <w:p>
      <w:pPr>
        <w:pStyle w:val="Heading2"/>
        <w:spacing w:after="120" w:before="250"/>
      </w:pPr>
      <w:r>
        <w:t xml:space="preserve">2.10 DocumentsController — Internal Document Library</w:t>
      </w:r>
    </w:p>
    <w:p>
      <w:pPr>
        <w:spacing w:after="120"/>
      </w:pPr>
      <w:r>
        <w:t xml:space="preserve">7 dispatch actions plus 2 standalone multipart endpoints (documents_upload.php, documents_download.php, outside the action-dispatch pattern). Provides versioned text/binary document storage with soft-delete. Design note: downloaded .html/.js documents are forced to Content-Disposition: attachment regardless of requested disposition — a fix applied after the audit found that inline rendering in a blob: iframe would inherit the app's origin and expose the viewer's bearer token in localStorage (INSA_FINDINGS.md §10).</w:t>
      </w:r>
    </w:p>
    <w:p>
      <w:pPr>
        <w:pStyle w:val="Heading2"/>
        <w:spacing w:after="120" w:before="250"/>
      </w:pPr>
      <w:r>
        <w:t xml:space="preserve">2.11 SystemResetController — Danger Zone</w:t>
      </w:r>
    </w:p>
    <w:p>
      <w:pPr>
        <w:spacing w:after="120"/>
      </w:pPr>
      <w:r>
        <w:t xml:space="preserve">3 actions (preview/backup/execute) implementing a full production data wipe, deliberately gated by a distinct system.reset capability separate from general owner-tier access, with a confirmation-token step (system_reset_tokens) between preview and execute.</w:t>
      </w:r>
    </w:p>
    <w:p>
      <w:pPr>
        <w:pStyle w:val="Heading2"/>
        <w:spacing w:after="120" w:before="250"/>
      </w:pPr>
      <w:r>
        <w:t xml:space="preserve">2.12 Supporting Modules</w:t>
      </w:r>
    </w:p>
    <w:p>
      <w:pPr>
        <w:pStyle w:val="ListParagraph"/>
        <w:numPr>
          <w:ilvl w:val="0"/>
          <w:numId w:val="1"/>
        </w:numPr>
        <w:spacing w:after="60"/>
      </w:pPr>
      <w:r>
        <w:t xml:space="preserve">DriverFuelController / CourierFuelController — 4 actions each, scoped strictly to the caller's own fuel log rows</w:t>
      </w:r>
    </w:p>
    <w:p>
      <w:pPr>
        <w:pStyle w:val="ListParagraph"/>
        <w:numPr>
          <w:ilvl w:val="0"/>
          <w:numId w:val="1"/>
        </w:numPr>
        <w:spacing w:after="60"/>
      </w:pPr>
      <w:r>
        <w:t xml:space="preserve">PushController — Web Push subscription management (VAPID) and test send</w:t>
      </w:r>
    </w:p>
    <w:p>
      <w:pPr>
        <w:pStyle w:val="ListParagraph"/>
        <w:numPr>
          <w:ilvl w:val="0"/>
          <w:numId w:val="1"/>
        </w:numPr>
        <w:spacing w:after="60"/>
      </w:pPr>
      <w:r>
        <w:t xml:space="preserve">InvestorPortalController — legacy unauthenticated token-link portal for investors without a linked user account</w:t>
      </w:r>
    </w:p>
    <w:p>
      <w:r>
        <w:br w:type="page"/>
      </w:r>
    </w:p>
    <w:p>
      <w:pPr>
        <w:pStyle w:val="Heading1"/>
        <w:spacing w:after="150" w:before="300"/>
      </w:pPr>
      <w:r>
        <w:t xml:space="preserve">3. Data Architecture</w:t>
      </w:r>
    </w:p>
    <w:p>
      <w:pPr>
        <w:pStyle w:val="Heading2"/>
        <w:spacing w:after="120" w:before="250"/>
      </w:pPr>
      <w:r>
        <w:t xml:space="preserve">3.1 Entity Relationship Summary</w:t>
      </w:r>
    </w:p>
    <w:p>
      <w:pPr>
        <w:spacing w:after="120"/>
      </w:pPr>
      <w:r>
        <w:t xml:space="preserve">The schema is defined across two sources that must be read together: versioned migrations (api/migrations/001-057_*.sql, tracked via schema_migrations) for incremental changes, and api/seeds/complete_migration.sql for a full 19-table fresh-install baseline. A further set of tables — most notably the ride-hailing core (rides, ride_drivers) — are created idempotently at runtime by controller code via CREATE TABLE IF NOT EXISTS, self-healed on existing installs by rides_add_missing_cols(). The full ERD is in the INSA package (Section 1.2 above); the table below summarizes the principal entities and their relationships.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00"/>
      </w:tblGrid>
      <w:tr>
        <w:trPr>
          <w:tblHeader/>
        </w:trPr>
        <w:tc>
          <w:tcPr>
            <w:tcW w:type="dxa" w:w="2000"/>
            <w:shd w:fill="1F2A1A" w:color="auto" w:val="clear"/>
            <w:tcMar>
              <w:top w:type="dxa" w:w="70"/>
              <w:left w:type="dxa" w:w="90"/>
              <w:bottom w:type="dxa" w:w="70"/>
              <w:right w:type="dxa" w:w="90"/>
            </w:tcMar>
          </w:tcPr>
          <w:p>
            <w:r>
              <w:rPr>
                <w:b/>
                <w:bCs/>
                <w:color w:val="FFFFFF"/>
                <w:sz w:val="19"/>
                <w:szCs w:val="19"/>
              </w:rPr>
              <w:t xml:space="preserve">Entity</w:t>
            </w:r>
          </w:p>
        </w:tc>
        <w:tc>
          <w:tcPr>
            <w:tcW w:type="dxa" w:w="3200"/>
            <w:shd w:fill="1F2A1A" w:color="auto" w:val="clear"/>
            <w:tcMar>
              <w:top w:type="dxa" w:w="70"/>
              <w:left w:type="dxa" w:w="90"/>
              <w:bottom w:type="dxa" w:w="70"/>
              <w:right w:type="dxa" w:w="90"/>
            </w:tcMar>
          </w:tcPr>
          <w:p>
            <w:r>
              <w:rPr>
                <w:b/>
                <w:bCs/>
                <w:color w:val="FFFFFF"/>
                <w:sz w:val="19"/>
                <w:szCs w:val="19"/>
              </w:rPr>
              <w:t xml:space="preserve">Key relationships</w:t>
            </w:r>
          </w:p>
        </w:tc>
        <w:tc>
          <w:tcPr>
            <w:tcW w:type="dxa" w:w="3800"/>
            <w:shd w:fill="1F2A1A" w:color="auto" w:val="clear"/>
            <w:tcMar>
              <w:top w:type="dxa" w:w="70"/>
              <w:left w:type="dxa" w:w="90"/>
              <w:bottom w:type="dxa" w:w="70"/>
              <w:right w:type="dxa" w:w="90"/>
            </w:tcMar>
          </w:tcPr>
          <w:p>
            <w:r>
              <w:rPr>
                <w:b/>
                <w:bCs/>
                <w:color w:val="FFFFFF"/>
                <w:sz w:val="19"/>
                <w:szCs w:val="19"/>
              </w:rPr>
              <w:t xml:space="preserve">Notes</w:t>
            </w:r>
          </w:p>
        </w:tc>
      </w:tr>
      <w:tr>
        <w:tc>
          <w:tcPr>
            <w:tcW w:type="dxa" w:w="2000"/>
            <w:tcMar>
              <w:top w:type="dxa" w:w="70"/>
              <w:left w:type="dxa" w:w="90"/>
              <w:bottom w:type="dxa" w:w="70"/>
              <w:right w:type="dxa" w:w="90"/>
            </w:tcMar>
          </w:tcPr>
          <w:p>
            <w:r>
              <w:rPr>
                <w:b w:val="false"/>
                <w:bCs w:val="false"/>
                <w:color w:val="000000"/>
                <w:sz w:val="19"/>
                <w:szCs w:val="19"/>
              </w:rPr>
              <w:t xml:space="preserve">users</w:t>
            </w:r>
          </w:p>
        </w:tc>
        <w:tc>
          <w:tcPr>
            <w:tcW w:type="dxa" w:w="3200"/>
            <w:tcMar>
              <w:top w:type="dxa" w:w="70"/>
              <w:left w:type="dxa" w:w="90"/>
              <w:bottom w:type="dxa" w:w="70"/>
              <w:right w:type="dxa" w:w="90"/>
            </w:tcMar>
          </w:tcPr>
          <w:p>
            <w:r>
              <w:rPr>
                <w:b w:val="false"/>
                <w:bCs w:val="false"/>
                <w:color w:val="000000"/>
                <w:sz w:val="19"/>
                <w:szCs w:val="19"/>
              </w:rPr>
              <w:t xml:space="preserve">1—1 couriers, 1—1 ride_drivers, 1—1 service_givers (via user_id)</w:t>
            </w:r>
          </w:p>
        </w:tc>
        <w:tc>
          <w:tcPr>
            <w:tcW w:type="dxa" w:w="3800"/>
            <w:tcMar>
              <w:top w:type="dxa" w:w="70"/>
              <w:left w:type="dxa" w:w="90"/>
              <w:bottom w:type="dxa" w:w="70"/>
              <w:right w:type="dxa" w:w="90"/>
            </w:tcMar>
          </w:tcPr>
          <w:p>
            <w:r>
              <w:rPr>
                <w:b w:val="false"/>
                <w:bCs w:val="false"/>
                <w:color w:val="000000"/>
                <w:sz w:val="19"/>
                <w:szCs w:val="19"/>
              </w:rPr>
              <w:t xml:space="preserve">Single identity table for all roles; role + staff_role columns</w:t>
            </w:r>
          </w:p>
        </w:tc>
      </w:tr>
      <w:tr>
        <w:tc>
          <w:tcPr>
            <w:tcW w:type="dxa" w:w="2000"/>
            <w:tcMar>
              <w:top w:type="dxa" w:w="70"/>
              <w:left w:type="dxa" w:w="90"/>
              <w:bottom w:type="dxa" w:w="70"/>
              <w:right w:type="dxa" w:w="90"/>
            </w:tcMar>
          </w:tcPr>
          <w:p>
            <w:r>
              <w:rPr>
                <w:b w:val="false"/>
                <w:bCs w:val="false"/>
                <w:color w:val="000000"/>
                <w:sz w:val="19"/>
                <w:szCs w:val="19"/>
              </w:rPr>
              <w:t xml:space="preserve">orders</w:t>
            </w:r>
          </w:p>
        </w:tc>
        <w:tc>
          <w:tcPr>
            <w:tcW w:type="dxa" w:w="3200"/>
            <w:tcMar>
              <w:top w:type="dxa" w:w="70"/>
              <w:left w:type="dxa" w:w="90"/>
              <w:bottom w:type="dxa" w:w="70"/>
              <w:right w:type="dxa" w:w="90"/>
            </w:tcMar>
          </w:tcPr>
          <w:p>
            <w:r>
              <w:rPr>
                <w:b w:val="false"/>
                <w:bCs w:val="false"/>
                <w:color w:val="000000"/>
                <w:sz w:val="19"/>
                <w:szCs w:val="19"/>
              </w:rPr>
              <w:t xml:space="preserve">N—1 users (customer_id), N—1 couriers, N—1 service_givers</w:t>
            </w:r>
          </w:p>
        </w:tc>
        <w:tc>
          <w:tcPr>
            <w:tcW w:type="dxa" w:w="3800"/>
            <w:tcMar>
              <w:top w:type="dxa" w:w="70"/>
              <w:left w:type="dxa" w:w="90"/>
              <w:bottom w:type="dxa" w:w="70"/>
              <w:right w:type="dxa" w:w="90"/>
            </w:tcMar>
          </w:tcPr>
          <w:p>
            <w:r>
              <w:rPr>
                <w:b w:val="false"/>
                <w:bCs w:val="false"/>
                <w:color w:val="000000"/>
                <w:sz w:val="19"/>
                <w:szCs w:val="19"/>
              </w:rPr>
              <w:t xml:space="preserve">Delivery/parcel transaction</w:t>
            </w:r>
          </w:p>
        </w:tc>
      </w:tr>
      <w:tr>
        <w:tc>
          <w:tcPr>
            <w:tcW w:type="dxa" w:w="2000"/>
            <w:tcMar>
              <w:top w:type="dxa" w:w="70"/>
              <w:left w:type="dxa" w:w="90"/>
              <w:bottom w:type="dxa" w:w="70"/>
              <w:right w:type="dxa" w:w="90"/>
            </w:tcMar>
          </w:tcPr>
          <w:p>
            <w:r>
              <w:rPr>
                <w:b w:val="false"/>
                <w:bCs w:val="false"/>
                <w:color w:val="000000"/>
                <w:sz w:val="19"/>
                <w:szCs w:val="19"/>
              </w:rPr>
              <w:t xml:space="preserve">order_items / items</w:t>
            </w:r>
          </w:p>
        </w:tc>
        <w:tc>
          <w:tcPr>
            <w:tcW w:type="dxa" w:w="3200"/>
            <w:tcMar>
              <w:top w:type="dxa" w:w="70"/>
              <w:left w:type="dxa" w:w="90"/>
              <w:bottom w:type="dxa" w:w="70"/>
              <w:right w:type="dxa" w:w="90"/>
            </w:tcMar>
          </w:tcPr>
          <w:p>
            <w:r>
              <w:rPr>
                <w:b w:val="false"/>
                <w:bCs w:val="false"/>
                <w:color w:val="000000"/>
                <w:sz w:val="19"/>
                <w:szCs w:val="19"/>
              </w:rPr>
              <w:t xml:space="preserve">N—1 orders, N—1 service_givers</w:t>
            </w:r>
          </w:p>
        </w:tc>
        <w:tc>
          <w:tcPr>
            <w:tcW w:type="dxa" w:w="3800"/>
            <w:tcMar>
              <w:top w:type="dxa" w:w="70"/>
              <w:left w:type="dxa" w:w="90"/>
              <w:bottom w:type="dxa" w:w="70"/>
              <w:right w:type="dxa" w:w="90"/>
            </w:tcMar>
          </w:tcPr>
          <w:p>
            <w:r>
              <w:rPr>
                <w:b w:val="false"/>
                <w:bCs w:val="false"/>
                <w:color w:val="000000"/>
                <w:sz w:val="19"/>
                <w:szCs w:val="19"/>
              </w:rPr>
              <w:t xml:space="preserve">Catalog + line items</w:t>
            </w:r>
          </w:p>
        </w:tc>
      </w:tr>
      <w:tr>
        <w:tc>
          <w:tcPr>
            <w:tcW w:type="dxa" w:w="2000"/>
            <w:tcMar>
              <w:top w:type="dxa" w:w="70"/>
              <w:left w:type="dxa" w:w="90"/>
              <w:bottom w:type="dxa" w:w="70"/>
              <w:right w:type="dxa" w:w="90"/>
            </w:tcMar>
          </w:tcPr>
          <w:p>
            <w:r>
              <w:rPr>
                <w:b w:val="false"/>
                <w:bCs w:val="false"/>
                <w:color w:val="000000"/>
                <w:sz w:val="19"/>
                <w:szCs w:val="19"/>
              </w:rPr>
              <w:t xml:space="preserve">order_confirmations</w:t>
            </w:r>
          </w:p>
        </w:tc>
        <w:tc>
          <w:tcPr>
            <w:tcW w:type="dxa" w:w="3200"/>
            <w:tcMar>
              <w:top w:type="dxa" w:w="70"/>
              <w:left w:type="dxa" w:w="90"/>
              <w:bottom w:type="dxa" w:w="70"/>
              <w:right w:type="dxa" w:w="90"/>
            </w:tcMar>
          </w:tcPr>
          <w:p>
            <w:r>
              <w:rPr>
                <w:b w:val="false"/>
                <w:bCs w:val="false"/>
                <w:color w:val="000000"/>
                <w:sz w:val="19"/>
                <w:szCs w:val="19"/>
              </w:rPr>
              <w:t xml:space="preserve">N—1 orders</w:t>
            </w:r>
          </w:p>
        </w:tc>
        <w:tc>
          <w:tcPr>
            <w:tcW w:type="dxa" w:w="3800"/>
            <w:tcMar>
              <w:top w:type="dxa" w:w="70"/>
              <w:left w:type="dxa" w:w="90"/>
              <w:bottom w:type="dxa" w:w="70"/>
              <w:right w:type="dxa" w:w="90"/>
            </w:tcMar>
          </w:tcPr>
          <w:p>
            <w:r>
              <w:rPr>
                <w:b w:val="false"/>
                <w:bCs w:val="false"/>
                <w:color w:val="000000"/>
                <w:sz w:val="19"/>
                <w:szCs w:val="19"/>
              </w:rPr>
              <w:t xml:space="preserve">Two-party pickup/delivery handshake</w:t>
            </w:r>
          </w:p>
        </w:tc>
      </w:tr>
      <w:tr>
        <w:tc>
          <w:tcPr>
            <w:tcW w:type="dxa" w:w="2000"/>
            <w:tcMar>
              <w:top w:type="dxa" w:w="70"/>
              <w:left w:type="dxa" w:w="90"/>
              <w:bottom w:type="dxa" w:w="70"/>
              <w:right w:type="dxa" w:w="90"/>
            </w:tcMar>
          </w:tcPr>
          <w:p>
            <w:r>
              <w:rPr>
                <w:b w:val="false"/>
                <w:bCs w:val="false"/>
                <w:color w:val="000000"/>
                <w:sz w:val="19"/>
                <w:szCs w:val="19"/>
              </w:rPr>
              <w:t xml:space="preserve">rides</w:t>
            </w:r>
          </w:p>
        </w:tc>
        <w:tc>
          <w:tcPr>
            <w:tcW w:type="dxa" w:w="3200"/>
            <w:tcMar>
              <w:top w:type="dxa" w:w="70"/>
              <w:left w:type="dxa" w:w="90"/>
              <w:bottom w:type="dxa" w:w="70"/>
              <w:right w:type="dxa" w:w="90"/>
            </w:tcMar>
          </w:tcPr>
          <w:p>
            <w:r>
              <w:rPr>
                <w:b w:val="false"/>
                <w:bCs w:val="false"/>
                <w:color w:val="000000"/>
                <w:sz w:val="19"/>
                <w:szCs w:val="19"/>
              </w:rPr>
              <w:t xml:space="preserve">N—1 users (passenger_id), N—1 users (driver_id)</w:t>
            </w:r>
          </w:p>
        </w:tc>
        <w:tc>
          <w:tcPr>
            <w:tcW w:type="dxa" w:w="3800"/>
            <w:tcMar>
              <w:top w:type="dxa" w:w="70"/>
              <w:left w:type="dxa" w:w="90"/>
              <w:bottom w:type="dxa" w:w="70"/>
              <w:right w:type="dxa" w:w="90"/>
            </w:tcMar>
          </w:tcPr>
          <w:p>
            <w:r>
              <w:rPr>
                <w:b w:val="false"/>
                <w:bCs w:val="false"/>
                <w:color w:val="000000"/>
                <w:sz w:val="19"/>
                <w:szCs w:val="19"/>
              </w:rPr>
              <w:t xml:space="preserve">Core ride-hailing entity; status ENUM searching/accepted/in_progress/completed/cancelled</w:t>
            </w:r>
          </w:p>
        </w:tc>
      </w:tr>
      <w:tr>
        <w:tc>
          <w:tcPr>
            <w:tcW w:type="dxa" w:w="2000"/>
            <w:tcMar>
              <w:top w:type="dxa" w:w="70"/>
              <w:left w:type="dxa" w:w="90"/>
              <w:bottom w:type="dxa" w:w="70"/>
              <w:right w:type="dxa" w:w="90"/>
            </w:tcMar>
          </w:tcPr>
          <w:p>
            <w:r>
              <w:rPr>
                <w:b w:val="false"/>
                <w:bCs w:val="false"/>
                <w:color w:val="000000"/>
                <w:sz w:val="19"/>
                <w:szCs w:val="19"/>
              </w:rPr>
              <w:t xml:space="preserve">ride_drivers</w:t>
            </w:r>
          </w:p>
        </w:tc>
        <w:tc>
          <w:tcPr>
            <w:tcW w:type="dxa" w:w="3200"/>
            <w:tcMar>
              <w:top w:type="dxa" w:w="70"/>
              <w:left w:type="dxa" w:w="90"/>
              <w:bottom w:type="dxa" w:w="70"/>
              <w:right w:type="dxa" w:w="90"/>
            </w:tcMar>
          </w:tcPr>
          <w:p>
            <w:r>
              <w:rPr>
                <w:b w:val="false"/>
                <w:bCs w:val="false"/>
                <w:color w:val="000000"/>
                <w:sz w:val="19"/>
                <w:szCs w:val="19"/>
              </w:rPr>
              <w:t xml:space="preserve">1—1 users</w:t>
            </w:r>
          </w:p>
        </w:tc>
        <w:tc>
          <w:tcPr>
            <w:tcW w:type="dxa" w:w="3800"/>
            <w:tcMar>
              <w:top w:type="dxa" w:w="70"/>
              <w:left w:type="dxa" w:w="90"/>
              <w:bottom w:type="dxa" w:w="70"/>
              <w:right w:type="dxa" w:w="90"/>
            </w:tcMar>
          </w:tcPr>
          <w:p>
            <w:r>
              <w:rPr>
                <w:b w:val="false"/>
                <w:bCs w:val="false"/>
                <w:color w:val="000000"/>
                <w:sz w:val="19"/>
                <w:szCs w:val="19"/>
              </w:rPr>
              <w:t xml:space="preserve">Driver profile: vehicle, identity verification, onboarded flag, earnings</w:t>
            </w:r>
          </w:p>
        </w:tc>
      </w:tr>
      <w:tr>
        <w:tc>
          <w:tcPr>
            <w:tcW w:type="dxa" w:w="2000"/>
            <w:tcMar>
              <w:top w:type="dxa" w:w="70"/>
              <w:left w:type="dxa" w:w="90"/>
              <w:bottom w:type="dxa" w:w="70"/>
              <w:right w:type="dxa" w:w="90"/>
            </w:tcMar>
          </w:tcPr>
          <w:p>
            <w:r>
              <w:rPr>
                <w:b w:val="false"/>
                <w:bCs w:val="false"/>
                <w:color w:val="000000"/>
                <w:sz w:val="19"/>
                <w:szCs w:val="19"/>
              </w:rPr>
              <w:t xml:space="preserve">ride_path_points</w:t>
            </w:r>
          </w:p>
        </w:tc>
        <w:tc>
          <w:tcPr>
            <w:tcW w:type="dxa" w:w="3200"/>
            <w:tcMar>
              <w:top w:type="dxa" w:w="70"/>
              <w:left w:type="dxa" w:w="90"/>
              <w:bottom w:type="dxa" w:w="70"/>
              <w:right w:type="dxa" w:w="90"/>
            </w:tcMar>
          </w:tcPr>
          <w:p>
            <w:r>
              <w:rPr>
                <w:b w:val="false"/>
                <w:bCs w:val="false"/>
                <w:color w:val="000000"/>
                <w:sz w:val="19"/>
                <w:szCs w:val="19"/>
              </w:rPr>
              <w:t xml:space="preserve">N—1 rides</w:t>
            </w:r>
          </w:p>
        </w:tc>
        <w:tc>
          <w:tcPr>
            <w:tcW w:type="dxa" w:w="3800"/>
            <w:tcMar>
              <w:top w:type="dxa" w:w="70"/>
              <w:left w:type="dxa" w:w="90"/>
              <w:bottom w:type="dxa" w:w="70"/>
              <w:right w:type="dxa" w:w="90"/>
            </w:tcMar>
          </w:tcPr>
          <w:p>
            <w:r>
              <w:rPr>
                <w:b w:val="false"/>
                <w:bCs w:val="false"/>
                <w:color w:val="000000"/>
                <w:sz w:val="19"/>
                <w:szCs w:val="19"/>
              </w:rPr>
              <w:t xml:space="preserve">GPS breadcrumb trail</w:t>
            </w:r>
          </w:p>
        </w:tc>
      </w:tr>
      <w:tr>
        <w:tc>
          <w:tcPr>
            <w:tcW w:type="dxa" w:w="2000"/>
            <w:tcMar>
              <w:top w:type="dxa" w:w="70"/>
              <w:left w:type="dxa" w:w="90"/>
              <w:bottom w:type="dxa" w:w="70"/>
              <w:right w:type="dxa" w:w="90"/>
            </w:tcMar>
          </w:tcPr>
          <w:p>
            <w:r>
              <w:rPr>
                <w:b w:val="false"/>
                <w:bCs w:val="false"/>
                <w:color w:val="000000"/>
                <w:sz w:val="19"/>
                <w:szCs w:val="19"/>
              </w:rPr>
              <w:t xml:space="preserve">driver_compliance_requests / driver_vehicle_change_requests</w:t>
            </w:r>
          </w:p>
        </w:tc>
        <w:tc>
          <w:tcPr>
            <w:tcW w:type="dxa" w:w="3200"/>
            <w:tcMar>
              <w:top w:type="dxa" w:w="70"/>
              <w:left w:type="dxa" w:w="90"/>
              <w:bottom w:type="dxa" w:w="70"/>
              <w:right w:type="dxa" w:w="90"/>
            </w:tcMar>
          </w:tcPr>
          <w:p>
            <w:r>
              <w:rPr>
                <w:b w:val="false"/>
                <w:bCs w:val="false"/>
                <w:color w:val="000000"/>
                <w:sz w:val="19"/>
                <w:szCs w:val="19"/>
              </w:rPr>
              <w:t xml:space="preserve">N—1 users (driver)</w:t>
            </w:r>
          </w:p>
        </w:tc>
        <w:tc>
          <w:tcPr>
            <w:tcW w:type="dxa" w:w="3800"/>
            <w:tcMar>
              <w:top w:type="dxa" w:w="70"/>
              <w:left w:type="dxa" w:w="90"/>
              <w:bottom w:type="dxa" w:w="70"/>
              <w:right w:type="dxa" w:w="90"/>
            </w:tcMar>
          </w:tcPr>
          <w:p>
            <w:r>
              <w:rPr>
                <w:b w:val="false"/>
                <w:bCs w:val="false"/>
                <w:color w:val="000000"/>
                <w:sz w:val="19"/>
                <w:szCs w:val="19"/>
              </w:rPr>
              <w:t xml:space="preserve">Admin-approved change workflows</w:t>
            </w:r>
          </w:p>
        </w:tc>
      </w:tr>
      <w:tr>
        <w:tc>
          <w:tcPr>
            <w:tcW w:type="dxa" w:w="2000"/>
            <w:tcMar>
              <w:top w:type="dxa" w:w="70"/>
              <w:left w:type="dxa" w:w="90"/>
              <w:bottom w:type="dxa" w:w="70"/>
              <w:right w:type="dxa" w:w="90"/>
            </w:tcMar>
          </w:tcPr>
          <w:p>
            <w:r>
              <w:rPr>
                <w:b w:val="false"/>
                <w:bCs w:val="false"/>
                <w:color w:val="000000"/>
                <w:sz w:val="19"/>
                <w:szCs w:val="19"/>
              </w:rPr>
              <w:t xml:space="preserve">equity_investors</w:t>
            </w:r>
          </w:p>
        </w:tc>
        <w:tc>
          <w:tcPr>
            <w:tcW w:type="dxa" w:w="3200"/>
            <w:tcMar>
              <w:top w:type="dxa" w:w="70"/>
              <w:left w:type="dxa" w:w="90"/>
              <w:bottom w:type="dxa" w:w="70"/>
              <w:right w:type="dxa" w:w="90"/>
            </w:tcMar>
          </w:tcPr>
          <w:p>
            <w:r>
              <w:rPr>
                <w:b w:val="false"/>
                <w:bCs w:val="false"/>
                <w:color w:val="000000"/>
                <w:sz w:val="19"/>
                <w:szCs w:val="19"/>
              </w:rPr>
              <w:t xml:space="preserve">0..1—1 users (optional link)</w:t>
            </w:r>
          </w:p>
        </w:tc>
        <w:tc>
          <w:tcPr>
            <w:tcW w:type="dxa" w:w="3800"/>
            <w:tcMar>
              <w:top w:type="dxa" w:w="70"/>
              <w:left w:type="dxa" w:w="90"/>
              <w:bottom w:type="dxa" w:w="70"/>
              <w:right w:type="dxa" w:w="90"/>
            </w:tcMar>
          </w:tcPr>
          <w:p>
            <w:r>
              <w:rPr>
                <w:b w:val="false"/>
                <w:bCs w:val="false"/>
                <w:color w:val="000000"/>
                <w:sz w:val="19"/>
                <w:szCs w:val="19"/>
              </w:rPr>
              <w:t xml:space="preserve">Cap-table entity, may predate a portal account</w:t>
            </w:r>
          </w:p>
        </w:tc>
      </w:tr>
      <w:tr>
        <w:tc>
          <w:tcPr>
            <w:tcW w:type="dxa" w:w="2000"/>
            <w:tcMar>
              <w:top w:type="dxa" w:w="70"/>
              <w:left w:type="dxa" w:w="90"/>
              <w:bottom w:type="dxa" w:w="70"/>
              <w:right w:type="dxa" w:w="90"/>
            </w:tcMar>
          </w:tcPr>
          <w:p>
            <w:r>
              <w:rPr>
                <w:b w:val="false"/>
                <w:bCs w:val="false"/>
                <w:color w:val="000000"/>
                <w:sz w:val="19"/>
                <w:szCs w:val="19"/>
              </w:rPr>
              <w:t xml:space="preserve">equb_groups / equb_members / equb_contributions</w:t>
            </w:r>
          </w:p>
        </w:tc>
        <w:tc>
          <w:tcPr>
            <w:tcW w:type="dxa" w:w="3200"/>
            <w:tcMar>
              <w:top w:type="dxa" w:w="70"/>
              <w:left w:type="dxa" w:w="90"/>
              <w:bottom w:type="dxa" w:w="70"/>
              <w:right w:type="dxa" w:w="90"/>
            </w:tcMar>
          </w:tcPr>
          <w:p>
            <w:r>
              <w:rPr>
                <w:b w:val="false"/>
                <w:bCs w:val="false"/>
                <w:color w:val="000000"/>
                <w:sz w:val="19"/>
                <w:szCs w:val="19"/>
              </w:rPr>
              <w:t xml:space="preserve">N—N users via equb_members</w:t>
            </w:r>
          </w:p>
        </w:tc>
        <w:tc>
          <w:tcPr>
            <w:tcW w:type="dxa" w:w="3800"/>
            <w:tcMar>
              <w:top w:type="dxa" w:w="70"/>
              <w:left w:type="dxa" w:w="90"/>
              <w:bottom w:type="dxa" w:w="70"/>
              <w:right w:type="dxa" w:w="90"/>
            </w:tcMar>
          </w:tcPr>
          <w:p>
            <w:r>
              <w:rPr>
                <w:b w:val="false"/>
                <w:bCs w:val="false"/>
                <w:color w:val="000000"/>
                <w:sz w:val="19"/>
                <w:szCs w:val="19"/>
              </w:rPr>
              <w:t xml:space="preserve">Rotating savings</w:t>
            </w:r>
          </w:p>
        </w:tc>
      </w:tr>
      <w:tr>
        <w:tc>
          <w:tcPr>
            <w:tcW w:type="dxa" w:w="2000"/>
            <w:tcMar>
              <w:top w:type="dxa" w:w="70"/>
              <w:left w:type="dxa" w:w="90"/>
              <w:bottom w:type="dxa" w:w="70"/>
              <w:right w:type="dxa" w:w="90"/>
            </w:tcMar>
          </w:tcPr>
          <w:p>
            <w:r>
              <w:rPr>
                <w:b w:val="false"/>
                <w:bCs w:val="false"/>
                <w:color w:val="000000"/>
                <w:sz w:val="19"/>
                <w:szCs w:val="19"/>
              </w:rPr>
              <w:t xml:space="preserve">role_permissions</w:t>
            </w:r>
          </w:p>
        </w:tc>
        <w:tc>
          <w:tcPr>
            <w:tcW w:type="dxa" w:w="3200"/>
            <w:tcMar>
              <w:top w:type="dxa" w:w="70"/>
              <w:left w:type="dxa" w:w="90"/>
              <w:bottom w:type="dxa" w:w="70"/>
              <w:right w:type="dxa" w:w="90"/>
            </w:tcMar>
          </w:tcPr>
          <w:p>
            <w:r>
              <w:rPr>
                <w:b w:val="false"/>
                <w:bCs w:val="false"/>
                <w:color w:val="000000"/>
                <w:sz w:val="19"/>
                <w:szCs w:val="19"/>
              </w:rPr>
              <w:t xml:space="preserve">referenced by role_name string, not FK</w:t>
            </w:r>
          </w:p>
        </w:tc>
        <w:tc>
          <w:tcPr>
            <w:tcW w:type="dxa" w:w="3800"/>
            <w:tcMar>
              <w:top w:type="dxa" w:w="70"/>
              <w:left w:type="dxa" w:w="90"/>
              <w:bottom w:type="dxa" w:w="70"/>
              <w:right w:type="dxa" w:w="90"/>
            </w:tcMar>
          </w:tcPr>
          <w:p>
            <w:r>
              <w:rPr>
                <w:b w:val="false"/>
                <w:bCs w:val="false"/>
                <w:color w:val="000000"/>
                <w:sz w:val="19"/>
                <w:szCs w:val="19"/>
              </w:rPr>
              <w:t xml:space="preserve">Capability list per admin role/staff_role</w:t>
            </w:r>
          </w:p>
        </w:tc>
      </w:tr>
    </w:tbl>
    <w:p>
      <w:pPr>
        <w:pStyle w:val="Heading2"/>
        <w:spacing w:after="120" w:before="250"/>
      </w:pPr>
      <w:r>
        <w:t xml:space="preserve">3.2 Notable Design Distinction: Courier vs. Driver</w:t>
      </w:r>
    </w:p>
    <w:p>
      <w:pPr>
        <w:spacing w:after="120"/>
      </w:pPr>
      <w:r>
        <w:t xml:space="preserve">There is no single 'drivers' table shared between the delivery and ride products. couriers (delivery-app role) and ride_drivers (ride-app role) are separate tables with separate onboarding, status, and earnings tracking, even though the same underlying users.id can in principle hold either or both roles at different times. This separation reflects the two products' genuinely different operational models (parcel courier vs. passenger driver) and must be preserved in any future schema refactor.</w:t>
      </w:r>
    </w:p>
    <w:p>
      <w:r>
        <w:br w:type="page"/>
      </w:r>
    </w:p>
    <w:p>
      <w:pPr>
        <w:pStyle w:val="Heading1"/>
        <w:spacing w:after="150" w:before="300"/>
      </w:pPr>
      <w:r>
        <w:t xml:space="preserve">4. Interface Design</w:t>
      </w:r>
    </w:p>
    <w:p>
      <w:pPr>
        <w:pStyle w:val="Heading2"/>
        <w:spacing w:after="120" w:before="250"/>
      </w:pPr>
      <w:r>
        <w:t xml:space="preserve">4.1 Internal Interfaces (Client ↔ Server)</w:t>
      </w:r>
    </w:p>
    <w:p>
      <w:pPr>
        <w:spacing w:after="120"/>
      </w:pPr>
      <w:r>
        <w:t xml:space="preserve">A single JSON-over-HTTPS interface: POST requests to api/boot.php with an action field (or GET with ?action=) select the handler. Authentication is via an Authorization bearer token (or, for the two service-to-service controllers, a shared key header with a query-param fallback for hosts that strip custom headers). Full request/response contracts are documented in the TDD/LLD companion document, with worked examples already available in docs/INSA_FINDINGS.md §9 for customer_create_order, book_ride, login, and driver_topup_etel_money.</w:t>
      </w:r>
    </w:p>
    <w:p>
      <w:pPr>
        <w:pStyle w:val="Heading2"/>
        <w:spacing w:after="120" w:before="250"/>
      </w:pPr>
      <w:r>
        <w:t xml:space="preserve">4.2 External Interfaces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400"/>
        <w:gridCol w:w="2600"/>
      </w:tblGrid>
      <w:tr>
        <w:trPr>
          <w:tblHeader/>
        </w:trPr>
        <w:tc>
          <w:tcPr>
            <w:tcW w:type="dxa" w:w="1600"/>
            <w:shd w:fill="1F2A1A" w:color="auto" w:val="clear"/>
            <w:tcMar>
              <w:top w:type="dxa" w:w="70"/>
              <w:left w:type="dxa" w:w="90"/>
              <w:bottom w:type="dxa" w:w="70"/>
              <w:right w:type="dxa" w:w="90"/>
            </w:tcMar>
          </w:tcPr>
          <w:p>
            <w:r>
              <w:rPr>
                <w:b/>
                <w:bCs/>
                <w:color w:val="FFFFFF"/>
                <w:sz w:val="19"/>
                <w:szCs w:val="19"/>
              </w:rPr>
              <w:t xml:space="preserve">System</w:t>
            </w:r>
          </w:p>
        </w:tc>
        <w:tc>
          <w:tcPr>
            <w:tcW w:type="dxa" w:w="1400"/>
            <w:shd w:fill="1F2A1A" w:color="auto" w:val="clear"/>
            <w:tcMar>
              <w:top w:type="dxa" w:w="70"/>
              <w:left w:type="dxa" w:w="90"/>
              <w:bottom w:type="dxa" w:w="70"/>
              <w:right w:type="dxa" w:w="90"/>
            </w:tcMar>
          </w:tcPr>
          <w:p>
            <w:r>
              <w:rPr>
                <w:b/>
                <w:bCs/>
                <w:color w:val="FFFFFF"/>
                <w:sz w:val="19"/>
                <w:szCs w:val="19"/>
              </w:rPr>
              <w:t xml:space="preserve">Direction</w:t>
            </w:r>
          </w:p>
        </w:tc>
        <w:tc>
          <w:tcPr>
            <w:tcW w:type="dxa" w:w="3400"/>
            <w:shd w:fill="1F2A1A" w:color="auto" w:val="clear"/>
            <w:tcMar>
              <w:top w:type="dxa" w:w="70"/>
              <w:left w:type="dxa" w:w="90"/>
              <w:bottom w:type="dxa" w:w="70"/>
              <w:right w:type="dxa" w:w="90"/>
            </w:tcMar>
          </w:tcPr>
          <w:p>
            <w:r>
              <w:rPr>
                <w:b/>
                <w:bCs/>
                <w:color w:val="FFFFFF"/>
                <w:sz w:val="19"/>
                <w:szCs w:val="19"/>
              </w:rPr>
              <w:t xml:space="preserve">Purpose</w:t>
            </w:r>
          </w:p>
        </w:tc>
        <w:tc>
          <w:tcPr>
            <w:tcW w:type="dxa" w:w="2600"/>
            <w:shd w:fill="1F2A1A" w:color="auto" w:val="clear"/>
            <w:tcMar>
              <w:top w:type="dxa" w:w="70"/>
              <w:left w:type="dxa" w:w="90"/>
              <w:bottom w:type="dxa" w:w="70"/>
              <w:right w:type="dxa" w:w="90"/>
            </w:tcMar>
          </w:tcPr>
          <w:p>
            <w:r>
              <w:rPr>
                <w:b/>
                <w:bCs/>
                <w:color w:val="FFFFFF"/>
                <w:sz w:val="19"/>
                <w:szCs w:val="19"/>
              </w:rPr>
              <w:t xml:space="preserve">Auth mechanism</w:t>
            </w:r>
          </w:p>
        </w:tc>
      </w:tr>
      <w:tr>
        <w:tc>
          <w:tcPr>
            <w:tcW w:type="dxa" w:w="1600"/>
            <w:tcMar>
              <w:top w:type="dxa" w:w="70"/>
              <w:left w:type="dxa" w:w="90"/>
              <w:bottom w:type="dxa" w:w="70"/>
              <w:right w:type="dxa" w:w="90"/>
            </w:tcMar>
          </w:tcPr>
          <w:p>
            <w:r>
              <w:rPr>
                <w:b w:val="false"/>
                <w:bCs w:val="false"/>
                <w:color w:val="000000"/>
                <w:sz w:val="19"/>
                <w:szCs w:val="19"/>
              </w:rPr>
              <w:t xml:space="preserve">EtelID</w:t>
            </w:r>
          </w:p>
        </w:tc>
        <w:tc>
          <w:tcPr>
            <w:tcW w:type="dxa" w:w="1400"/>
            <w:tcMar>
              <w:top w:type="dxa" w:w="70"/>
              <w:left w:type="dxa" w:w="90"/>
              <w:bottom w:type="dxa" w:w="70"/>
              <w:right w:type="dxa" w:w="90"/>
            </w:tcMar>
          </w:tcPr>
          <w:p>
            <w:r>
              <w:rPr>
                <w:b w:val="false"/>
                <w:bCs w:val="false"/>
                <w:color w:val="000000"/>
                <w:sz w:val="19"/>
                <w:szCs w:val="19"/>
              </w:rPr>
              <w:t xml:space="preserve">Inbound + Outbound</w:t>
            </w:r>
          </w:p>
        </w:tc>
        <w:tc>
          <w:tcPr>
            <w:tcW w:type="dxa" w:w="3400"/>
            <w:tcMar>
              <w:top w:type="dxa" w:w="70"/>
              <w:left w:type="dxa" w:w="90"/>
              <w:bottom w:type="dxa" w:w="70"/>
              <w:right w:type="dxa" w:w="90"/>
            </w:tcMar>
          </w:tcPr>
          <w:p>
            <w:r>
              <w:rPr>
                <w:b w:val="false"/>
                <w:bCs w:val="false"/>
                <w:color w:val="000000"/>
                <w:sz w:val="19"/>
                <w:szCs w:val="19"/>
              </w:rPr>
              <w:t xml:space="preserve">SSO login, driver identity cross-check, NFC-tap driver/order actions, cross-company staff role sync</w:t>
            </w:r>
          </w:p>
        </w:tc>
        <w:tc>
          <w:tcPr>
            <w:tcW w:type="dxa" w:w="2600"/>
            <w:tcMar>
              <w:top w:type="dxa" w:w="70"/>
              <w:left w:type="dxa" w:w="90"/>
              <w:bottom w:type="dxa" w:w="70"/>
              <w:right w:type="dxa" w:w="90"/>
            </w:tcMar>
          </w:tcPr>
          <w:p>
            <w:r>
              <w:rPr>
                <w:b w:val="false"/>
                <w:bCs w:val="false"/>
                <w:color w:val="000000"/>
                <w:sz w:val="19"/>
                <w:szCs w:val="19"/>
              </w:rPr>
              <w:t xml:space="preserve">Shared service key (both directions)</w:t>
            </w:r>
          </w:p>
        </w:tc>
      </w:tr>
      <w:tr>
        <w:tc>
          <w:tcPr>
            <w:tcW w:type="dxa" w:w="1600"/>
            <w:tcMar>
              <w:top w:type="dxa" w:w="70"/>
              <w:left w:type="dxa" w:w="90"/>
              <w:bottom w:type="dxa" w:w="70"/>
              <w:right w:type="dxa" w:w="90"/>
            </w:tcMar>
          </w:tcPr>
          <w:p>
            <w:r>
              <w:rPr>
                <w:b w:val="false"/>
                <w:bCs w:val="false"/>
                <w:color w:val="000000"/>
                <w:sz w:val="19"/>
                <w:szCs w:val="19"/>
              </w:rPr>
              <w:t xml:space="preserve">EtelPay</w:t>
            </w:r>
          </w:p>
        </w:tc>
        <w:tc>
          <w:tcPr>
            <w:tcW w:type="dxa" w:w="1400"/>
            <w:tcMar>
              <w:top w:type="dxa" w:w="70"/>
              <w:left w:type="dxa" w:w="90"/>
              <w:bottom w:type="dxa" w:w="70"/>
              <w:right w:type="dxa" w:w="90"/>
            </w:tcMar>
          </w:tcPr>
          <w:p>
            <w:r>
              <w:rPr>
                <w:b w:val="false"/>
                <w:bCs w:val="false"/>
                <w:color w:val="000000"/>
                <w:sz w:val="19"/>
                <w:szCs w:val="19"/>
              </w:rPr>
              <w:t xml:space="preserve">Outbound</w:t>
            </w:r>
          </w:p>
        </w:tc>
        <w:tc>
          <w:tcPr>
            <w:tcW w:type="dxa" w:w="3400"/>
            <w:tcMar>
              <w:top w:type="dxa" w:w="70"/>
              <w:left w:type="dxa" w:w="90"/>
              <w:bottom w:type="dxa" w:w="70"/>
              <w:right w:type="dxa" w:w="90"/>
            </w:tcMar>
          </w:tcPr>
          <w:p>
            <w:r>
              <w:rPr>
                <w:b w:val="false"/>
                <w:bCs w:val="false"/>
                <w:color w:val="000000"/>
                <w:sz w:val="19"/>
                <w:szCs w:val="19"/>
              </w:rPr>
              <w:t xml:space="preserve">Verify driver Etel Money top-up transaction references</w:t>
            </w:r>
          </w:p>
        </w:tc>
        <w:tc>
          <w:tcPr>
            <w:tcW w:type="dxa" w:w="2600"/>
            <w:tcMar>
              <w:top w:type="dxa" w:w="70"/>
              <w:left w:type="dxa" w:w="90"/>
              <w:bottom w:type="dxa" w:w="70"/>
              <w:right w:type="dxa" w:w="90"/>
            </w:tcMar>
          </w:tcPr>
          <w:p>
            <w:r>
              <w:rPr>
                <w:b w:val="false"/>
                <w:bCs w:val="false"/>
                <w:color w:val="000000"/>
                <w:sz w:val="19"/>
                <w:szCs w:val="19"/>
              </w:rPr>
              <w:t xml:space="preserve">etel_pay_verify_tx() server-to-server call</w:t>
            </w:r>
          </w:p>
        </w:tc>
      </w:tr>
      <w:tr>
        <w:tc>
          <w:tcPr>
            <w:tcW w:type="dxa" w:w="1600"/>
            <w:tcMar>
              <w:top w:type="dxa" w:w="70"/>
              <w:left w:type="dxa" w:w="90"/>
              <w:bottom w:type="dxa" w:w="70"/>
              <w:right w:type="dxa" w:w="90"/>
            </w:tcMar>
          </w:tcPr>
          <w:p>
            <w:r>
              <w:rPr>
                <w:b w:val="false"/>
                <w:bCs w:val="false"/>
                <w:color w:val="000000"/>
                <w:sz w:val="19"/>
                <w:szCs w:val="19"/>
              </w:rPr>
              <w:t xml:space="preserve">Telebirr</w:t>
            </w:r>
          </w:p>
        </w:tc>
        <w:tc>
          <w:tcPr>
            <w:tcW w:type="dxa" w:w="1400"/>
            <w:tcMar>
              <w:top w:type="dxa" w:w="70"/>
              <w:left w:type="dxa" w:w="90"/>
              <w:bottom w:type="dxa" w:w="70"/>
              <w:right w:type="dxa" w:w="90"/>
            </w:tcMar>
          </w:tcPr>
          <w:p>
            <w:r>
              <w:rPr>
                <w:b w:val="false"/>
                <w:bCs w:val="false"/>
                <w:color w:val="000000"/>
                <w:sz w:val="19"/>
                <w:szCs w:val="19"/>
              </w:rPr>
              <w:t xml:space="preserve">Outbound</w:t>
            </w:r>
          </w:p>
        </w:tc>
        <w:tc>
          <w:tcPr>
            <w:tcW w:type="dxa" w:w="3400"/>
            <w:tcMar>
              <w:top w:type="dxa" w:w="70"/>
              <w:left w:type="dxa" w:w="90"/>
              <w:bottom w:type="dxa" w:w="70"/>
              <w:right w:type="dxa" w:w="90"/>
            </w:tcMar>
          </w:tcPr>
          <w:p>
            <w:r>
              <w:rPr>
                <w:b w:val="false"/>
                <w:bCs w:val="false"/>
                <w:color w:val="000000"/>
                <w:sz w:val="19"/>
                <w:szCs w:val="19"/>
              </w:rPr>
              <w:t xml:space="preserve">Customer order payment initiation and status verification</w:t>
            </w:r>
          </w:p>
        </w:tc>
        <w:tc>
          <w:tcPr>
            <w:tcW w:type="dxa" w:w="2600"/>
            <w:tcMar>
              <w:top w:type="dxa" w:w="70"/>
              <w:left w:type="dxa" w:w="90"/>
              <w:bottom w:type="dxa" w:w="70"/>
              <w:right w:type="dxa" w:w="90"/>
            </w:tcMar>
          </w:tcPr>
          <w:p>
            <w:r>
              <w:rPr>
                <w:b w:val="false"/>
                <w:bCs w:val="false"/>
                <w:color w:val="000000"/>
                <w:sz w:val="19"/>
                <w:szCs w:val="19"/>
              </w:rPr>
              <w:t xml:space="preserve">Telebirr merchant API</w:t>
            </w:r>
          </w:p>
        </w:tc>
      </w:tr>
      <w:tr>
        <w:tc>
          <w:tcPr>
            <w:tcW w:type="dxa" w:w="1600"/>
            <w:tcMar>
              <w:top w:type="dxa" w:w="70"/>
              <w:left w:type="dxa" w:w="90"/>
              <w:bottom w:type="dxa" w:w="70"/>
              <w:right w:type="dxa" w:w="90"/>
            </w:tcMar>
          </w:tcPr>
          <w:p>
            <w:r>
              <w:rPr>
                <w:b w:val="false"/>
                <w:bCs w:val="false"/>
                <w:color w:val="000000"/>
                <w:sz w:val="19"/>
                <w:szCs w:val="19"/>
              </w:rPr>
              <w:t xml:space="preserve">Partner banks</w:t>
            </w:r>
          </w:p>
        </w:tc>
        <w:tc>
          <w:tcPr>
            <w:tcW w:type="dxa" w:w="1400"/>
            <w:tcMar>
              <w:top w:type="dxa" w:w="70"/>
              <w:left w:type="dxa" w:w="90"/>
              <w:bottom w:type="dxa" w:w="70"/>
              <w:right w:type="dxa" w:w="90"/>
            </w:tcMar>
          </w:tcPr>
          <w:p>
            <w:r>
              <w:rPr>
                <w:b w:val="false"/>
                <w:bCs w:val="false"/>
                <w:color w:val="000000"/>
                <w:sz w:val="19"/>
                <w:szCs w:val="19"/>
              </w:rPr>
              <w:t xml:space="preserve">Manual/Outbound</w:t>
            </w:r>
          </w:p>
        </w:tc>
        <w:tc>
          <w:tcPr>
            <w:tcW w:type="dxa" w:w="3400"/>
            <w:tcMar>
              <w:top w:type="dxa" w:w="70"/>
              <w:left w:type="dxa" w:w="90"/>
              <w:bottom w:type="dxa" w:w="70"/>
              <w:right w:type="dxa" w:w="90"/>
            </w:tcMar>
          </w:tcPr>
          <w:p>
            <w:r>
              <w:rPr>
                <w:b w:val="false"/>
                <w:bCs w:val="false"/>
                <w:color w:val="000000"/>
                <w:sz w:val="19"/>
                <w:szCs w:val="19"/>
              </w:rPr>
              <w:t xml:space="preserve">Bank-transfer order payment, admin-verified</w:t>
            </w:r>
          </w:p>
        </w:tc>
        <w:tc>
          <w:tcPr>
            <w:tcW w:type="dxa" w:w="2600"/>
            <w:tcMar>
              <w:top w:type="dxa" w:w="70"/>
              <w:left w:type="dxa" w:w="90"/>
              <w:bottom w:type="dxa" w:w="70"/>
              <w:right w:type="dxa" w:w="90"/>
            </w:tcMar>
          </w:tcPr>
          <w:p>
            <w:r>
              <w:rPr>
                <w:b w:val="false"/>
                <w:bCs w:val="false"/>
                <w:color w:val="000000"/>
                <w:sz w:val="19"/>
                <w:szCs w:val="19"/>
              </w:rPr>
              <w:t xml:space="preserve">Reference-number matching, admin review</w:t>
            </w:r>
          </w:p>
        </w:tc>
      </w:tr>
      <w:tr>
        <w:tc>
          <w:tcPr>
            <w:tcW w:type="dxa" w:w="1600"/>
            <w:tcMar>
              <w:top w:type="dxa" w:w="70"/>
              <w:left w:type="dxa" w:w="90"/>
              <w:bottom w:type="dxa" w:w="70"/>
              <w:right w:type="dxa" w:w="90"/>
            </w:tcMar>
          </w:tcPr>
          <w:p>
            <w:r>
              <w:rPr>
                <w:b w:val="false"/>
                <w:bCs w:val="false"/>
                <w:color w:val="000000"/>
                <w:sz w:val="19"/>
                <w:szCs w:val="19"/>
              </w:rPr>
              <w:t xml:space="preserve">Telegram Bot API</w:t>
            </w:r>
          </w:p>
        </w:tc>
        <w:tc>
          <w:tcPr>
            <w:tcW w:type="dxa" w:w="1400"/>
            <w:tcMar>
              <w:top w:type="dxa" w:w="70"/>
              <w:left w:type="dxa" w:w="90"/>
              <w:bottom w:type="dxa" w:w="70"/>
              <w:right w:type="dxa" w:w="90"/>
            </w:tcMar>
          </w:tcPr>
          <w:p>
            <w:r>
              <w:rPr>
                <w:b w:val="false"/>
                <w:bCs w:val="false"/>
                <w:color w:val="000000"/>
                <w:sz w:val="19"/>
                <w:szCs w:val="19"/>
              </w:rPr>
              <w:t xml:space="preserve">Outbound</w:t>
            </w:r>
          </w:p>
        </w:tc>
        <w:tc>
          <w:tcPr>
            <w:tcW w:type="dxa" w:w="3400"/>
            <w:tcMar>
              <w:top w:type="dxa" w:w="70"/>
              <w:left w:type="dxa" w:w="90"/>
              <w:bottom w:type="dxa" w:w="70"/>
              <w:right w:type="dxa" w:w="90"/>
            </w:tcMar>
          </w:tcPr>
          <w:p>
            <w:r>
              <w:rPr>
                <w:b w:val="false"/>
                <w:bCs w:val="false"/>
                <w:color w:val="000000"/>
                <w:sz w:val="19"/>
                <w:szCs w:val="19"/>
              </w:rPr>
              <w:t xml:space="preserve">Operational alerting via api/telegram_webhook.php</w:t>
            </w:r>
          </w:p>
        </w:tc>
        <w:tc>
          <w:tcPr>
            <w:tcW w:type="dxa" w:w="2600"/>
            <w:tcMar>
              <w:top w:type="dxa" w:w="70"/>
              <w:left w:type="dxa" w:w="90"/>
              <w:bottom w:type="dxa" w:w="70"/>
              <w:right w:type="dxa" w:w="90"/>
            </w:tcMar>
          </w:tcPr>
          <w:p>
            <w:r>
              <w:rPr>
                <w:b w:val="false"/>
                <w:bCs w:val="false"/>
                <w:color w:val="000000"/>
                <w:sz w:val="19"/>
                <w:szCs w:val="19"/>
              </w:rPr>
              <w:t xml:space="preserve">Bot token</w:t>
            </w:r>
          </w:p>
        </w:tc>
      </w:tr>
      <w:tr>
        <w:tc>
          <w:tcPr>
            <w:tcW w:type="dxa" w:w="1600"/>
            <w:tcMar>
              <w:top w:type="dxa" w:w="70"/>
              <w:left w:type="dxa" w:w="90"/>
              <w:bottom w:type="dxa" w:w="70"/>
              <w:right w:type="dxa" w:w="90"/>
            </w:tcMar>
          </w:tcPr>
          <w:p>
            <w:r>
              <w:rPr>
                <w:b w:val="false"/>
                <w:bCs w:val="false"/>
                <w:color w:val="000000"/>
                <w:sz w:val="19"/>
                <w:szCs w:val="19"/>
              </w:rPr>
              <w:t xml:space="preserve">Web Push (VAPID)</w:t>
            </w:r>
          </w:p>
        </w:tc>
        <w:tc>
          <w:tcPr>
            <w:tcW w:type="dxa" w:w="1400"/>
            <w:tcMar>
              <w:top w:type="dxa" w:w="70"/>
              <w:left w:type="dxa" w:w="90"/>
              <w:bottom w:type="dxa" w:w="70"/>
              <w:right w:type="dxa" w:w="90"/>
            </w:tcMar>
          </w:tcPr>
          <w:p>
            <w:r>
              <w:rPr>
                <w:b w:val="false"/>
                <w:bCs w:val="false"/>
                <w:color w:val="000000"/>
                <w:sz w:val="19"/>
                <w:szCs w:val="19"/>
              </w:rPr>
              <w:t xml:space="preserve">Outbound</w:t>
            </w:r>
          </w:p>
        </w:tc>
        <w:tc>
          <w:tcPr>
            <w:tcW w:type="dxa" w:w="3400"/>
            <w:tcMar>
              <w:top w:type="dxa" w:w="70"/>
              <w:left w:type="dxa" w:w="90"/>
              <w:bottom w:type="dxa" w:w="70"/>
              <w:right w:type="dxa" w:w="90"/>
            </w:tcMar>
          </w:tcPr>
          <w:p>
            <w:r>
              <w:rPr>
                <w:b w:val="false"/>
                <w:bCs w:val="false"/>
                <w:color w:val="000000"/>
                <w:sz w:val="19"/>
                <w:szCs w:val="19"/>
              </w:rPr>
              <w:t xml:space="preserve">Browser push notifications</w:t>
            </w:r>
          </w:p>
        </w:tc>
        <w:tc>
          <w:tcPr>
            <w:tcW w:type="dxa" w:w="2600"/>
            <w:tcMar>
              <w:top w:type="dxa" w:w="70"/>
              <w:left w:type="dxa" w:w="90"/>
              <w:bottom w:type="dxa" w:w="70"/>
              <w:right w:type="dxa" w:w="90"/>
            </w:tcMar>
          </w:tcPr>
          <w:p>
            <w:r>
              <w:rPr>
                <w:b w:val="false"/>
                <w:bCs w:val="false"/>
                <w:color w:val="000000"/>
                <w:sz w:val="19"/>
                <w:szCs w:val="19"/>
              </w:rPr>
              <w:t xml:space="preserve">VAPID key pair</w:t>
            </w:r>
          </w:p>
        </w:tc>
      </w:tr>
    </w:tbl>
    <w:p>
      <w:pPr>
        <w:pStyle w:val="Heading2"/>
        <w:spacing w:after="120" w:before="250"/>
      </w:pPr>
      <w:r>
        <w:t xml:space="preserve">4.3 Real-Time Interfaces</w:t>
      </w:r>
    </w:p>
    <w:p>
      <w:pPr>
        <w:spacing w:after="120"/>
      </w:pPr>
      <w:r>
        <w:t xml:space="preserve">Server-Sent Events (SSE) endpoints (sse_ride_status, sse_driver_stream, plus admin diagnostic streams sse_admin_delivery_system_test / sse_admin_system_test) push live status/location updates to connected clients, avoiding client-side polling for ride status and driver location.</w:t>
      </w:r>
    </w:p>
    <w:p>
      <w:r>
        <w:br w:type="page"/>
      </w:r>
    </w:p>
    <w:p>
      <w:pPr>
        <w:pStyle w:val="Heading1"/>
        <w:spacing w:after="150" w:before="300"/>
      </w:pPr>
      <w:r>
        <w:t xml:space="preserve">5. Deployment Architecture</w:t>
      </w:r>
    </w:p>
    <w:p>
      <w:pPr>
        <w:pStyle w:val="Heading2"/>
        <w:spacing w:after="120" w:before="250"/>
      </w:pPr>
      <w:r>
        <w:t xml:space="preserve">5.1 Hosting Topology</w:t>
      </w:r>
    </w:p>
    <w:p>
      <w:pPr>
        <w:spacing w:after="120"/>
      </w:pPr>
      <w:r>
        <w:t xml:space="preserve">Single shared cPanel account (ethelmfz) on ethelmarket.com hosts Delivery &amp; Ride at the /delivery/ path alongside sibling Etel Group systems at their own paths. No SSH access exists; all production deploys go through an in-app Admin Updater tool (admin.html → Updater tab) which uploads files directly into the live docroot, with a runtime backup of replaced files (api/backups/, access-restricted via .htaccess) and a deploy audit log (patch_log).</w:t>
      </w:r>
    </w:p>
    <w:p>
      <w:pPr>
        <w:pStyle w:val="Heading2"/>
        <w:spacing w:after="120" w:before="250"/>
      </w:pPr>
      <w:r>
        <w:t xml:space="preserve">5.2 Release &amp; Rollout Model</w:t>
      </w:r>
    </w:p>
    <w:p>
      <w:pPr>
        <w:spacing w:after="120"/>
      </w:pPr>
      <w:r>
        <w:t xml:space="preserve">Each of the six front-end apps is independently versioned with a stable/canary release-channel system (app_release_channels, app_canary_testers, managed via AdminController). Source changes are built into minified bundles (js/build-bundles.js, terser) and synced into versioned release folders (js/releases/{app}/{version}/) before they can reach any real user — a source-level fix alone does not change production behavior until this rebuild-and-promote step happens.</w:t>
      </w:r>
    </w:p>
    <w:p>
      <w:pPr>
        <w:pStyle w:val="Heading2"/>
        <w:spacing w:after="120" w:before="250"/>
      </w:pPr>
      <w:r>
        <w:t xml:space="preserve">5.3 Offline / PWA Behavior</w:t>
      </w:r>
    </w:p>
    <w:p>
      <w:pPr>
        <w:spacing w:after="120"/>
      </w:pPr>
      <w:r>
        <w:t xml:space="preserve">sw.js implements cache-first for static assets, network-first-with-5-minute-cache for API calls, and a dedicated offline fallback page for navigation. CACHE_NAME must be bumped on every deploy that changes cached files, or clients will continue serving stale bundles despite a successful server-side deploy — a known operational risk flagged during document preparation (the code's most recent commit post-dates the last CACHE_NAME bump by two days; recommend confirming the live cache version before relying on it as a version-of-record).</w:t>
      </w:r>
    </w:p>
    <w:p>
      <w:r>
        <w:br w:type="page"/>
      </w:r>
    </w:p>
    <w:p>
      <w:pPr>
        <w:pStyle w:val="Heading1"/>
        <w:spacing w:after="150" w:before="300"/>
      </w:pPr>
      <w:r>
        <w:t xml:space="preserve">6. Traceability</w:t>
      </w:r>
    </w:p>
    <w:p>
      <w:pPr>
        <w:spacing w:after="120"/>
      </w:pPr>
      <w:r>
        <w:t xml:space="preserve">This SDD's modules (Section 2) map 1:1 to the Functional Requirements groups in the SRS (Section 3.1-3.5) and to the controller files cited throughout. The full per-action API contract detail (request/response schemas, access levels) is maintained in the companion Technical Specifications (TDD/LLD) document rather than duplicated here, to keep this SDD at an architectural level of detail as expected by Hibir's Document Requirements checklist.</w:t>
      </w:r>
    </w:p>
    <w:p>
      <w:pPr>
        <w:pStyle w:val="Heading2"/>
        <w:spacing w:after="120" w:before="250"/>
      </w:pPr>
      <w:r>
        <w:t xml:space="preserve">Document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600"/>
        <w:gridCol w:w="2600"/>
      </w:tblGrid>
      <w:tr>
        <w:trPr>
          <w:tblHeader/>
        </w:trPr>
        <w:tc>
          <w:tcPr>
            <w:tcW w:type="dxa" w:w="1200"/>
            <w:shd w:fill="1F2A1A" w:color="auto" w:val="clear"/>
            <w:tcMar>
              <w:top w:type="dxa" w:w="70"/>
              <w:left w:type="dxa" w:w="90"/>
              <w:bottom w:type="dxa" w:w="70"/>
              <w:right w:type="dxa" w:w="90"/>
            </w:tcMar>
          </w:tcPr>
          <w:p>
            <w:r>
              <w:rPr>
                <w:b/>
                <w:bCs/>
                <w:color w:val="FFFFFF"/>
                <w:sz w:val="19"/>
                <w:szCs w:val="19"/>
              </w:rPr>
              <w:t xml:space="preserve">Version</w:t>
            </w:r>
          </w:p>
        </w:tc>
        <w:tc>
          <w:tcPr>
            <w:tcW w:type="dxa" w:w="1600"/>
            <w:shd w:fill="1F2A1A" w:color="auto" w:val="clear"/>
            <w:tcMar>
              <w:top w:type="dxa" w:w="70"/>
              <w:left w:type="dxa" w:w="90"/>
              <w:bottom w:type="dxa" w:w="70"/>
              <w:right w:type="dxa" w:w="90"/>
            </w:tcMar>
          </w:tcPr>
          <w:p>
            <w:r>
              <w:rPr>
                <w:b/>
                <w:bCs/>
                <w:color w:val="FFFFFF"/>
                <w:sz w:val="19"/>
                <w:szCs w:val="19"/>
              </w:rPr>
              <w:t xml:space="preserve">Date</w:t>
            </w:r>
          </w:p>
        </w:tc>
        <w:tc>
          <w:tcPr>
            <w:tcW w:type="dxa" w:w="3600"/>
            <w:shd w:fill="1F2A1A" w:color="auto" w:val="clear"/>
            <w:tcMar>
              <w:top w:type="dxa" w:w="70"/>
              <w:left w:type="dxa" w:w="90"/>
              <w:bottom w:type="dxa" w:w="70"/>
              <w:right w:type="dxa" w:w="90"/>
            </w:tcMar>
          </w:tcPr>
          <w:p>
            <w:r>
              <w:rPr>
                <w:b/>
                <w:bCs/>
                <w:color w:val="FFFFFF"/>
                <w:sz w:val="19"/>
                <w:szCs w:val="19"/>
              </w:rPr>
              <w:t xml:space="preserve">Author</w:t>
            </w:r>
          </w:p>
        </w:tc>
        <w:tc>
          <w:tcPr>
            <w:tcW w:type="dxa" w:w="2600"/>
            <w:shd w:fill="1F2A1A" w:color="auto" w:val="clear"/>
            <w:tcMar>
              <w:top w:type="dxa" w:w="70"/>
              <w:left w:type="dxa" w:w="90"/>
              <w:bottom w:type="dxa" w:w="70"/>
              <w:right w:type="dxa" w:w="90"/>
            </w:tcMar>
          </w:tcPr>
          <w:p>
            <w:r>
              <w:rPr>
                <w:b/>
                <w:bCs/>
                <w:color w:val="FFFFFF"/>
                <w:sz w:val="19"/>
                <w:szCs w:val="19"/>
              </w:rPr>
              <w:t xml:space="preserve">Change</w:t>
            </w:r>
          </w:p>
        </w:tc>
      </w:tr>
      <w:tr>
        <w:tc>
          <w:tcPr>
            <w:tcW w:type="dxa" w:w="1200"/>
            <w:tcMar>
              <w:top w:type="dxa" w:w="70"/>
              <w:left w:type="dxa" w:w="90"/>
              <w:bottom w:type="dxa" w:w="70"/>
              <w:right w:type="dxa" w:w="90"/>
            </w:tcMar>
          </w:tcPr>
          <w:p>
            <w:r>
              <w:rPr>
                <w:b w:val="false"/>
                <w:bCs w:val="false"/>
                <w:color w:val="000000"/>
                <w:sz w:val="19"/>
                <w:szCs w:val="19"/>
              </w:rPr>
              <w:t xml:space="preserve">1.0</w:t>
            </w:r>
          </w:p>
        </w:tc>
        <w:tc>
          <w:tcPr>
            <w:tcW w:type="dxa" w:w="1600"/>
            <w:tcMar>
              <w:top w:type="dxa" w:w="70"/>
              <w:left w:type="dxa" w:w="90"/>
              <w:bottom w:type="dxa" w:w="70"/>
              <w:right w:type="dxa" w:w="90"/>
            </w:tcMar>
          </w:tcPr>
          <w:p>
            <w:r>
              <w:rPr>
                <w:b w:val="false"/>
                <w:bCs w:val="false"/>
                <w:color w:val="000000"/>
                <w:sz w:val="19"/>
                <w:szCs w:val="19"/>
              </w:rPr>
              <w:t xml:space="preserve">2026-09-22</w:t>
            </w:r>
          </w:p>
        </w:tc>
        <w:tc>
          <w:tcPr>
            <w:tcW w:type="dxa" w:w="3600"/>
            <w:tcMar>
              <w:top w:type="dxa" w:w="70"/>
              <w:left w:type="dxa" w:w="90"/>
              <w:bottom w:type="dxa" w:w="70"/>
              <w:right w:type="dxa" w:w="90"/>
            </w:tcMar>
          </w:tcPr>
          <w:p>
            <w:r>
              <w:rPr>
                <w:b w:val="false"/>
                <w:bCs w:val="false"/>
                <w:color w:val="000000"/>
                <w:sz w:val="19"/>
                <w:szCs w:val="19"/>
              </w:rPr>
              <w:t xml:space="preserve">Etel Group / Claude (reverse-engineered from codebase)</w:t>
            </w:r>
          </w:p>
        </w:tc>
        <w:tc>
          <w:tcPr>
            <w:tcW w:type="dxa" w:w="2600"/>
            <w:tcMar>
              <w:top w:type="dxa" w:w="70"/>
              <w:left w:type="dxa" w:w="90"/>
              <w:bottom w:type="dxa" w:w="70"/>
              <w:right w:type="dxa" w:w="90"/>
            </w:tcMar>
          </w:tcPr>
          <w:p>
            <w:r>
              <w:rPr>
                <w:b w:val="false"/>
                <w:bCs w:val="false"/>
                <w:color w:val="000000"/>
                <w:sz w:val="19"/>
                <w:szCs w:val="19"/>
              </w:rPr>
              <w:t xml:space="preserve">Initial SDD derived from production source code, for INSA submission via Hibir</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2026-09-22T16:46:15.146Z</dcterms:created>
  <dcterms:modified xsi:type="dcterms:W3CDTF">2026-09-22T16:46:15.147Z</dcterms:modified>
</cp:coreProperties>
</file>

<file path=docProps/custom.xml><?xml version="1.0" encoding="utf-8"?>
<Properties xmlns="http://schemas.openxmlformats.org/officeDocument/2006/custom-properties" xmlns:vt="http://schemas.openxmlformats.org/officeDocument/2006/docPropsVTypes"/>
</file>