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User Guide</w:t>
      </w:r>
    </w:p>
    <w:p>
      <w:pPr>
        <w:pStyle w:val="Heading2"/>
        <w:spacing w:after="300"/>
      </w:pPr>
      <w:r>
        <w:t xml:space="preserve">Etel Ride Platform</w:t>
      </w:r>
    </w:p>
    <w:p>
      <w:pPr>
        <w:spacing w:after="120"/>
      </w:pPr>
      <w:r>
        <w:t xml:space="preserve">Version: 1.0  |  Prepared for: INSA Cyber-Security Audit Application (Etel Ride scope)</w:t>
      </w:r>
    </w:p>
    <w:p>
      <w:pPr>
        <w:spacing w:after="120"/>
      </w:pPr>
      <w:r>
        <w:t xml:space="preserve">This guide covers the two roles served directly by Etel Ride: Passenger and Driver, and (briefly) the Equb savings feature available to drivers. A brief note on Admin is included since ride operations are configured there. Etel Delivery's roles (Customer/delivery-ordering, Courier, Service Giver) are a separate service line on the same platform and are out of scope for this document. The Ride and Driver apps are installable as standalone Progressive Web Apps (PWA) from their login page, or distributed as Android apps (Trusted Web Activity).</w:t>
      </w:r>
    </w:p>
    <w:p>
      <w:r>
        <w:br w:type="page"/>
      </w:r>
    </w:p>
    <w:p>
      <w:pPr>
        <w:pStyle w:val="Heading1"/>
        <w:spacing w:after="150" w:before="300"/>
      </w:pPr>
      <w:r>
        <w:t xml:space="preserve">1. Getting Started (Passenger / Driver)</w:t>
      </w:r>
    </w:p>
    <w:p>
      <w:pPr>
        <w:pStyle w:val="Heading2"/>
        <w:spacing w:after="120" w:before="250"/>
      </w:pPr>
      <w:r>
        <w:t xml:space="preserve">1.1 Installing the App</w:t>
      </w:r>
    </w:p>
    <w:p>
      <w:pPr>
        <w:spacing w:after="120"/>
      </w:pPr>
      <w:r>
        <w:t xml:space="preserve">Open the relevant app's link in a mobile browser (Chrome recommended) and either accept the "Install App" prompt or use the browser menu's "Add to Home Screen" / "Install" option. Ride and Driver are separate installable apps, each with its own icon.</w:t>
      </w:r>
    </w:p>
    <w:p>
      <w:pPr>
        <w:pStyle w:val="Heading2"/>
        <w:spacing w:after="120" w:before="250"/>
      </w:pPr>
      <w:r>
        <w:t xml:space="preserve">1.2 Signing In</w:t>
      </w:r>
    </w:p>
    <w:p>
      <w:pPr>
        <w:spacing w:after="120"/>
      </w:pPr>
      <w:r>
        <w:t xml:space="preserve">Two ways to sign in:</w:t>
      </w:r>
    </w:p>
    <w:p>
      <w:pPr>
        <w:pStyle w:val="ListParagraph"/>
        <w:numPr>
          <w:ilvl w:val="0"/>
          <w:numId w:val="1"/>
        </w:numPr>
        <w:spacing w:after="60"/>
      </w:pPr>
      <w:r>
        <w:t xml:space="preserve">Phone number + password (registered directly in the app)</w:t>
      </w:r>
    </w:p>
    <w:p>
      <w:pPr>
        <w:pStyle w:val="ListParagraph"/>
        <w:numPr>
          <w:ilvl w:val="0"/>
          <w:numId w:val="1"/>
        </w:numPr>
        <w:spacing w:after="60"/>
      </w:pPr>
      <w:r>
        <w:t xml:space="preserve">"Sign in with EtelID" — using your existing Etel Group identity account</w:t>
      </w:r>
    </w:p>
    <w:p>
      <w:pPr>
        <w:spacing w:after="120"/>
      </w:pPr>
      <w:r>
        <w:t xml:space="preserve">Note: if you have ever signed in as a different role on the same device/browser, that session may carry over — sign out first if you need to switch roles for testing, since the Ride and Driver apps share one browser storage per device.</w:t>
      </w:r>
    </w:p>
    <w:p>
      <w:r>
        <w:br w:type="page"/>
      </w:r>
    </w:p>
    <w:p>
      <w:pPr>
        <w:pStyle w:val="Heading1"/>
        <w:spacing w:after="150" w:before="300"/>
      </w:pPr>
      <w:r>
        <w:t xml:space="preserve">2. Passenger Guide</w:t>
      </w:r>
    </w:p>
    <w:p>
      <w:pPr>
        <w:spacing w:after="120"/>
      </w:pPr>
      <w:r>
        <w:t xml:space="preserve">A Passenger is a registered account (backend role: customer) using the Ride app to book trips.</w:t>
      </w:r>
    </w:p>
    <w:p>
      <w:pPr>
        <w:pStyle w:val="Heading2"/>
        <w:spacing w:after="120" w:before="250"/>
      </w:pPr>
      <w:r>
        <w:t xml:space="preserve">2.1 Booking a Ride</w:t>
      </w:r>
    </w:p>
    <w:p>
      <w:pPr>
        <w:spacing w:after="60"/>
      </w:pPr>
      <w:r>
        <w:t xml:space="preserve">1. Open the Ride app and set your pickup and drop-off locations.</w:t>
      </w:r>
    </w:p>
    <w:p>
      <w:pPr>
        <w:spacing w:after="60"/>
      </w:pPr>
      <w:r>
        <w:t xml:space="preserve">2. Choose a vehicle type (bajaj, moto, car, or minibus) and view the fare estimate before booking.</w:t>
      </w:r>
    </w:p>
    <w:p>
      <w:pPr>
        <w:spacing w:after="60"/>
      </w:pPr>
      <w:r>
        <w:t xml:space="preserve">3. Book the ride — the app searches for a nearby available driver.</w:t>
      </w:r>
    </w:p>
    <w:p>
      <w:pPr>
        <w:spacing w:after="60"/>
      </w:pPr>
      <w:r>
        <w:t xml:space="preserve">4. Once a driver accepts, track their live location and chat with them in-app if needed.</w:t>
      </w:r>
    </w:p>
    <w:p>
      <w:pPr>
        <w:spacing w:after="60"/>
      </w:pPr>
      <w:r>
        <w:t xml:space="preserve">5. When the driver arrives and the trip starts, you'll see live status updates until the ride completes.</w:t>
      </w:r>
    </w:p>
    <w:p>
      <w:pPr>
        <w:spacing w:after="60"/>
      </w:pPr>
      <w:r>
        <w:t xml:space="preserve">6. Rate the driver and the ride after completion.</w:t>
      </w:r>
    </w:p>
    <w:p>
      <w:pPr>
        <w:pStyle w:val="Heading2"/>
        <w:spacing w:after="120" w:before="250"/>
      </w:pPr>
      <w:r>
        <w:t xml:space="preserve">2.2 Safety</w:t>
      </w:r>
    </w:p>
    <w:p>
      <w:pPr>
        <w:spacing w:after="120"/>
      </w:pPr>
      <w:r>
        <w:t xml:space="preserve">A Speak-Up feature (SOS button) is available during any active ride if you feel unsafe — use it to alert support immediately with your live location.</w:t>
      </w:r>
    </w:p>
    <w:p>
      <w:pPr>
        <w:pStyle w:val="Heading2"/>
        <w:spacing w:after="120" w:before="250"/>
      </w:pPr>
      <w:r>
        <w:t xml:space="preserve">2.3 Other Passenger Features</w:t>
      </w:r>
    </w:p>
    <w:p>
      <w:pPr>
        <w:pStyle w:val="ListParagraph"/>
        <w:numPr>
          <w:ilvl w:val="0"/>
          <w:numId w:val="1"/>
        </w:numPr>
        <w:spacing w:after="60"/>
      </w:pPr>
      <w:r>
        <w:t xml:space="preserve">Save favorite routes for faster rebooking.</w:t>
      </w:r>
    </w:p>
    <w:p>
      <w:pPr>
        <w:pStyle w:val="ListParagraph"/>
        <w:numPr>
          <w:ilvl w:val="0"/>
          <w:numId w:val="1"/>
        </w:numPr>
        <w:spacing w:after="60"/>
      </w:pPr>
      <w:r>
        <w:t xml:space="preserve">Schedule a ride in advance.</w:t>
      </w:r>
    </w:p>
    <w:p>
      <w:pPr>
        <w:pStyle w:val="ListParagraph"/>
        <w:numPr>
          <w:ilvl w:val="0"/>
          <w:numId w:val="1"/>
        </w:numPr>
        <w:spacing w:after="60"/>
      </w:pPr>
      <w:r>
        <w:t xml:space="preserve">Share a live ride-tracking link with someone else.</w:t>
      </w:r>
    </w:p>
    <w:p>
      <w:pPr>
        <w:pStyle w:val="ListParagraph"/>
        <w:numPr>
          <w:ilvl w:val="0"/>
          <w:numId w:val="1"/>
        </w:numPr>
        <w:spacing w:after="60"/>
      </w:pPr>
      <w:r>
        <w:t xml:space="preserve">View ride history and past ratings.</w:t>
      </w:r>
    </w:p>
    <w:p>
      <w:r>
        <w:br w:type="page"/>
      </w:r>
    </w:p>
    <w:p>
      <w:pPr>
        <w:pStyle w:val="Heading1"/>
        <w:spacing w:after="150" w:before="300"/>
      </w:pPr>
      <w:r>
        <w:t xml:space="preserve">3. Driver Guide</w:t>
      </w:r>
    </w:p>
    <w:p>
      <w:pPr>
        <w:spacing w:after="120"/>
      </w:pPr>
      <w:r>
        <w:t xml:space="preserve">Becoming a driver requires an onboarding and verification process — you cannot self-register directly as a driver.</w:t>
      </w:r>
    </w:p>
    <w:p>
      <w:pPr>
        <w:pStyle w:val="Heading2"/>
        <w:spacing w:after="120" w:before="250"/>
      </w:pPr>
      <w:r>
        <w:t xml:space="preserve">3.1 Onboarding</w:t>
      </w:r>
    </w:p>
    <w:p>
      <w:pPr>
        <w:spacing w:after="60"/>
      </w:pPr>
      <w:r>
        <w:t xml:space="preserve">1. Start as a registered account, then begin driver onboarding from the Driver app.</w:t>
      </w:r>
    </w:p>
    <w:p>
      <w:pPr>
        <w:spacing w:after="60"/>
      </w:pPr>
      <w:r>
        <w:t xml:space="preserve">2. Submit your vehicle details (type, make, color, year, plate number), a selfie, and your license photo.</w:t>
      </w:r>
    </w:p>
    <w:p>
      <w:pPr>
        <w:spacing w:after="60"/>
      </w:pPr>
      <w:r>
        <w:t xml:space="preserve">3. Your submission is reviewed and your identity cross-checked (via EtelID) before approval.</w:t>
      </w:r>
    </w:p>
    <w:p>
      <w:pPr>
        <w:spacing w:after="60"/>
      </w:pPr>
      <w:r>
        <w:t xml:space="preserve">4. Once approved, your account is upgraded to Driver status — only then can you go online and accept rides.</w:t>
      </w:r>
    </w:p>
    <w:p>
      <w:pPr>
        <w:spacing w:after="120"/>
      </w:pPr>
      <w:r>
        <w:t xml:space="preserve">Important: you cannot go online, accept ride requests, cash out earnings, or top up your Etel Money wallet until onboarding is fully approved. This is a deliberate safety/fraud-prevention control.</w:t>
      </w:r>
    </w:p>
    <w:p>
      <w:pPr>
        <w:pStyle w:val="Heading2"/>
        <w:spacing w:after="120" w:before="250"/>
      </w:pPr>
      <w:r>
        <w:t xml:space="preserve">3.2 Accepting &amp; Completing a Ride</w:t>
      </w:r>
    </w:p>
    <w:p>
      <w:pPr>
        <w:spacing w:after="60"/>
      </w:pPr>
      <w:r>
        <w:t xml:space="preserve">1. Go online to start receiving nearby ride requests.</w:t>
      </w:r>
    </w:p>
    <w:p>
      <w:pPr>
        <w:spacing w:after="60"/>
      </w:pPr>
      <w:r>
        <w:t xml:space="preserve">2. Accept a request, then navigate to the passenger's pickup location.</w:t>
      </w:r>
    </w:p>
    <w:p>
      <w:pPr>
        <w:spacing w:after="60"/>
      </w:pPr>
      <w:r>
        <w:t xml:space="preserve">3. Mark yourself as "arrived" when you reach the pickup point (a waiting-time fee may start accruing if the passenger isn't ready yet).</w:t>
      </w:r>
    </w:p>
    <w:p>
      <w:pPr>
        <w:spacing w:after="60"/>
      </w:pPr>
      <w:r>
        <w:t xml:space="preserve">4. Start the ride once the passenger is aboard.</w:t>
      </w:r>
    </w:p>
    <w:p>
      <w:pPr>
        <w:spacing w:after="60"/>
      </w:pPr>
      <w:r>
        <w:t xml:space="preserve">5. Navigate to the drop-off location, then mark the ride complete.</w:t>
      </w:r>
    </w:p>
    <w:p>
      <w:pPr>
        <w:pStyle w:val="Heading2"/>
        <w:spacing w:after="120" w:before="250"/>
      </w:pPr>
      <w:r>
        <w:t xml:space="preserve">3.3 Earnings &amp; Wallet</w:t>
      </w:r>
    </w:p>
    <w:p>
      <w:pPr>
        <w:pStyle w:val="ListParagraph"/>
        <w:numPr>
          <w:ilvl w:val="0"/>
          <w:numId w:val="1"/>
        </w:numPr>
        <w:spacing w:after="60"/>
      </w:pPr>
      <w:r>
        <w:t xml:space="preserve">View your earnings and KPI summary at any time.</w:t>
      </w:r>
    </w:p>
    <w:p>
      <w:pPr>
        <w:pStyle w:val="ListParagraph"/>
        <w:numPr>
          <w:ilvl w:val="0"/>
          <w:numId w:val="1"/>
        </w:numPr>
        <w:spacing w:after="60"/>
      </w:pPr>
      <w:r>
        <w:t xml:space="preserve">Cash out earnings directly from the app.</w:t>
      </w:r>
    </w:p>
    <w:p>
      <w:pPr>
        <w:pStyle w:val="ListParagraph"/>
        <w:numPr>
          <w:ilvl w:val="0"/>
          <w:numId w:val="1"/>
        </w:numPr>
        <w:spacing w:after="60"/>
      </w:pPr>
      <w:r>
        <w:t xml:space="preserve">Top up your internal Etel Money wallet: pay via Etel Pay separately, then submit the transaction reference and a receipt photo in the app. Your top-up is verified automatically, then requires a separate admin approval before the balance is credited to your account — this can take some time, it is not instant.</w:t>
      </w:r>
    </w:p>
    <w:p>
      <w:pPr>
        <w:pStyle w:val="Heading2"/>
        <w:spacing w:after="120" w:before="250"/>
      </w:pPr>
      <w:r>
        <w:t xml:space="preserve">3.4 Compliance &amp; Vehicle Updates</w:t>
      </w:r>
    </w:p>
    <w:p>
      <w:pPr>
        <w:pStyle w:val="ListParagraph"/>
        <w:numPr>
          <w:ilvl w:val="0"/>
          <w:numId w:val="1"/>
        </w:numPr>
        <w:spacing w:after="60"/>
      </w:pPr>
      <w:r>
        <w:t xml:space="preserve">Submit compliance documents (insurance, technical inspection, road fund) with their expiry dates — these require admin approval.</w:t>
      </w:r>
    </w:p>
    <w:p>
      <w:pPr>
        <w:pStyle w:val="ListParagraph"/>
        <w:numPr>
          <w:ilvl w:val="0"/>
          <w:numId w:val="1"/>
        </w:numPr>
        <w:spacing w:after="60"/>
      </w:pPr>
      <w:r>
        <w:t xml:space="preserve">If your vehicle details change after onboarding (new plate, different vehicle), submit a vehicle-change request — this also requires admin approval before it takes effect anywhere (map, ride previews, profile).</w:t>
      </w:r>
    </w:p>
    <w:p>
      <w:pPr>
        <w:pStyle w:val="Heading2"/>
        <w:spacing w:after="120" w:before="250"/>
      </w:pPr>
      <w:r>
        <w:t xml:space="preserve">3.5 Safety &amp; Support</w:t>
      </w:r>
    </w:p>
    <w:p>
      <w:pPr>
        <w:pStyle w:val="ListParagraph"/>
        <w:numPr>
          <w:ilvl w:val="0"/>
          <w:numId w:val="1"/>
        </w:numPr>
        <w:spacing w:after="60"/>
      </w:pPr>
      <w:r>
        <w:t xml:space="preserve">Use the SOS button during an active ride if you feel unsafe.</w:t>
      </w:r>
    </w:p>
    <w:p>
      <w:pPr>
        <w:pStyle w:val="ListParagraph"/>
        <w:numPr>
          <w:ilvl w:val="0"/>
          <w:numId w:val="1"/>
        </w:numPr>
        <w:spacing w:after="60"/>
      </w:pPr>
      <w:r>
        <w:t xml:space="preserve">Report ride issues from the app.</w:t>
      </w:r>
    </w:p>
    <w:p>
      <w:pPr>
        <w:pStyle w:val="ListParagraph"/>
        <w:numPr>
          <w:ilvl w:val="0"/>
          <w:numId w:val="1"/>
        </w:numPr>
        <w:spacing w:after="60"/>
      </w:pPr>
      <w:r>
        <w:t xml:space="preserve">Check driver announcements for platform news.</w:t>
      </w:r>
    </w:p>
    <w:p>
      <w:pPr>
        <w:pStyle w:val="ListParagraph"/>
        <w:numPr>
          <w:ilvl w:val="0"/>
          <w:numId w:val="1"/>
        </w:numPr>
        <w:spacing w:after="60"/>
      </w:pPr>
      <w:r>
        <w:t xml:space="preserve">Log fuel expenses for your own record-keeping.</w:t>
      </w:r>
    </w:p>
    <w:p>
      <w:pPr>
        <w:pStyle w:val="ListParagraph"/>
        <w:numPr>
          <w:ilvl w:val="0"/>
          <w:numId w:val="1"/>
        </w:numPr>
        <w:spacing w:after="60"/>
      </w:pPr>
      <w:r>
        <w:t xml:space="preserve">Join an Equb (rotating savings) group — see Section 5.</w:t>
      </w:r>
    </w:p>
    <w:p>
      <w:r>
        <w:br w:type="page"/>
      </w:r>
    </w:p>
    <w:p>
      <w:pPr>
        <w:pStyle w:val="Heading1"/>
        <w:spacing w:after="150" w:before="300"/>
      </w:pPr>
      <w:r>
        <w:t xml:space="preserve">4. Admin Guide (Ride-relevant subset)</w:t>
      </w:r>
    </w:p>
    <w:p>
      <w:pPr>
        <w:spacing w:after="120"/>
      </w:pPr>
      <w:r>
        <w:t xml:space="preserve">Admin accounts configure and support the Ride service through the shared Admin app. Access to each area is governed by capability-based permissions — not every admin account can see or do everything.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2A1A" w:color="auto" w:val="clear"/>
            <w:tcMar>
              <w:top w:type="dxa" w:w="80"/>
              <w:left w:type="dxa" w:w="100"/>
              <w:bottom w:type="dxa" w:w="80"/>
              <w:right w:type="dxa" w:w="100"/>
            </w:tcMar>
          </w:tcPr>
          <w:p>
            <w:r>
              <w:rPr>
                <w:b/>
                <w:bCs/>
                <w:color w:val="FFFFFF"/>
                <w:sz w:val="20"/>
                <w:szCs w:val="20"/>
              </w:rPr>
              <w:t xml:space="preserve">Area</w:t>
            </w:r>
          </w:p>
        </w:tc>
        <w:tc>
          <w:tcPr>
            <w:tcW w:type="dxa" w:w="6600"/>
            <w:shd w:fill="1F2A1A" w:color="auto" w:val="clear"/>
            <w:tcMar>
              <w:top w:type="dxa" w:w="80"/>
              <w:left w:type="dxa" w:w="100"/>
              <w:bottom w:type="dxa" w:w="80"/>
              <w:right w:type="dxa" w:w="100"/>
            </w:tcMar>
          </w:tcPr>
          <w:p>
            <w:r>
              <w:rPr>
                <w:b/>
                <w:bCs/>
                <w:color w:val="FFFFFF"/>
                <w:sz w:val="20"/>
                <w:szCs w:val="20"/>
              </w:rPr>
              <w:t xml:space="preserve">What you can do there</w:t>
            </w:r>
          </w:p>
        </w:tc>
      </w:tr>
      <w:tr>
        <w:tc>
          <w:tcPr>
            <w:tcW w:type="dxa" w:w="2400"/>
            <w:tcMar>
              <w:top w:type="dxa" w:w="80"/>
              <w:left w:type="dxa" w:w="100"/>
              <w:bottom w:type="dxa" w:w="80"/>
              <w:right w:type="dxa" w:w="100"/>
            </w:tcMar>
          </w:tcPr>
          <w:p>
            <w:r>
              <w:rPr>
                <w:b w:val="false"/>
                <w:bCs w:val="false"/>
                <w:color w:val="000000"/>
                <w:sz w:val="20"/>
                <w:szCs w:val="20"/>
              </w:rPr>
              <w:t xml:space="preserve">Rides</w:t>
            </w:r>
          </w:p>
        </w:tc>
        <w:tc>
          <w:tcPr>
            <w:tcW w:type="dxa" w:w="6600"/>
            <w:tcMar>
              <w:top w:type="dxa" w:w="80"/>
              <w:left w:type="dxa" w:w="100"/>
              <w:bottom w:type="dxa" w:w="80"/>
              <w:right w:type="dxa" w:w="100"/>
            </w:tcMar>
          </w:tcPr>
          <w:p>
            <w:r>
              <w:rPr>
                <w:b w:val="false"/>
                <w:bCs w:val="false"/>
                <w:color w:val="000000"/>
                <w:sz w:val="20"/>
                <w:szCs w:val="20"/>
              </w:rPr>
              <w:t xml:space="preserve">View and manage active/past rides, resolve ride issues, respond to SOS alerts</w:t>
            </w:r>
          </w:p>
        </w:tc>
      </w:tr>
      <w:tr>
        <w:tc>
          <w:tcPr>
            <w:tcW w:type="dxa" w:w="2400"/>
            <w:tcMar>
              <w:top w:type="dxa" w:w="80"/>
              <w:left w:type="dxa" w:w="100"/>
              <w:bottom w:type="dxa" w:w="80"/>
              <w:right w:type="dxa" w:w="100"/>
            </w:tcMar>
          </w:tcPr>
          <w:p>
            <w:r>
              <w:rPr>
                <w:b w:val="false"/>
                <w:bCs w:val="false"/>
                <w:color w:val="000000"/>
                <w:sz w:val="20"/>
                <w:szCs w:val="20"/>
              </w:rPr>
              <w:t xml:space="preserve">Pricing</w:t>
            </w:r>
          </w:p>
        </w:tc>
        <w:tc>
          <w:tcPr>
            <w:tcW w:type="dxa" w:w="6600"/>
            <w:tcMar>
              <w:top w:type="dxa" w:w="80"/>
              <w:left w:type="dxa" w:w="100"/>
              <w:bottom w:type="dxa" w:w="80"/>
              <w:right w:type="dxa" w:w="100"/>
            </w:tcMar>
          </w:tcPr>
          <w:p>
            <w:r>
              <w:rPr>
                <w:b w:val="false"/>
                <w:bCs w:val="false"/>
                <w:color w:val="000000"/>
                <w:sz w:val="20"/>
                <w:szCs w:val="20"/>
              </w:rPr>
              <w:t xml:space="preserve">Configure ride fare rules and surge settings</w:t>
            </w:r>
          </w:p>
        </w:tc>
      </w:tr>
      <w:tr>
        <w:tc>
          <w:tcPr>
            <w:tcW w:type="dxa" w:w="2400"/>
            <w:tcMar>
              <w:top w:type="dxa" w:w="80"/>
              <w:left w:type="dxa" w:w="100"/>
              <w:bottom w:type="dxa" w:w="80"/>
              <w:right w:type="dxa" w:w="100"/>
            </w:tcMar>
          </w:tcPr>
          <w:p>
            <w:r>
              <w:rPr>
                <w:b w:val="false"/>
                <w:bCs w:val="false"/>
                <w:color w:val="000000"/>
                <w:sz w:val="20"/>
                <w:szCs w:val="20"/>
              </w:rPr>
              <w:t xml:space="preserve">Support</w:t>
            </w:r>
          </w:p>
        </w:tc>
        <w:tc>
          <w:tcPr>
            <w:tcW w:type="dxa" w:w="6600"/>
            <w:tcMar>
              <w:top w:type="dxa" w:w="80"/>
              <w:left w:type="dxa" w:w="100"/>
              <w:bottom w:type="dxa" w:w="80"/>
              <w:right w:type="dxa" w:w="100"/>
            </w:tcMar>
          </w:tcPr>
          <w:p>
            <w:r>
              <w:rPr>
                <w:b w:val="false"/>
                <w:bCs w:val="false"/>
                <w:color w:val="000000"/>
                <w:sz w:val="20"/>
                <w:szCs w:val="20"/>
              </w:rPr>
              <w:t xml:space="preserve">Handle driver/passenger issue tickets, review driver compliance documents and vehicle-change requests</w:t>
            </w:r>
          </w:p>
        </w:tc>
      </w:tr>
      <w:tr>
        <w:tc>
          <w:tcPr>
            <w:tcW w:type="dxa" w:w="2400"/>
            <w:tcMar>
              <w:top w:type="dxa" w:w="80"/>
              <w:left w:type="dxa" w:w="100"/>
              <w:bottom w:type="dxa" w:w="80"/>
              <w:right w:type="dxa" w:w="100"/>
            </w:tcMar>
          </w:tcPr>
          <w:p>
            <w:r>
              <w:rPr>
                <w:b w:val="false"/>
                <w:bCs w:val="false"/>
                <w:color w:val="000000"/>
                <w:sz w:val="20"/>
                <w:szCs w:val="20"/>
              </w:rPr>
              <w:t xml:space="preserve">Releases</w:t>
            </w:r>
          </w:p>
        </w:tc>
        <w:tc>
          <w:tcPr>
            <w:tcW w:type="dxa" w:w="6600"/>
            <w:tcMar>
              <w:top w:type="dxa" w:w="80"/>
              <w:left w:type="dxa" w:w="100"/>
              <w:bottom w:type="dxa" w:w="80"/>
              <w:right w:type="dxa" w:w="100"/>
            </w:tcMar>
          </w:tcPr>
          <w:p>
            <w:r>
              <w:rPr>
                <w:b w:val="false"/>
                <w:bCs w:val="false"/>
                <w:color w:val="000000"/>
                <w:sz w:val="20"/>
                <w:szCs w:val="20"/>
              </w:rPr>
              <w:t xml:space="preserve">Manage staged rollouts for the Ride and Driver apps (stable/canary channels)</w:t>
            </w:r>
          </w:p>
        </w:tc>
      </w:tr>
      <w:tr>
        <w:tc>
          <w:tcPr>
            <w:tcW w:type="dxa" w:w="2400"/>
            <w:tcMar>
              <w:top w:type="dxa" w:w="80"/>
              <w:left w:type="dxa" w:w="100"/>
              <w:bottom w:type="dxa" w:w="80"/>
              <w:right w:type="dxa" w:w="100"/>
            </w:tcMar>
          </w:tcPr>
          <w:p>
            <w:r>
              <w:rPr>
                <w:b w:val="false"/>
                <w:bCs w:val="false"/>
                <w:color w:val="000000"/>
                <w:sz w:val="20"/>
                <w:szCs w:val="20"/>
              </w:rPr>
              <w:t xml:space="preserve">Equb</w:t>
            </w:r>
          </w:p>
        </w:tc>
        <w:tc>
          <w:tcPr>
            <w:tcW w:type="dxa" w:w="6600"/>
            <w:tcMar>
              <w:top w:type="dxa" w:w="80"/>
              <w:left w:type="dxa" w:w="100"/>
              <w:bottom w:type="dxa" w:w="80"/>
              <w:right w:type="dxa" w:w="100"/>
            </w:tcMar>
          </w:tcPr>
          <w:p>
            <w:r>
              <w:rPr>
                <w:b w:val="false"/>
                <w:bCs w:val="false"/>
                <w:color w:val="000000"/>
                <w:sz w:val="20"/>
                <w:szCs w:val="20"/>
              </w:rPr>
              <w:t xml:space="preserve">Manage rotating-savings groups and packages</w:t>
            </w:r>
          </w:p>
        </w:tc>
      </w:tr>
    </w:tbl>
    <w:p>
      <w:pPr>
        <w:spacing w:after="120"/>
      </w:pPr>
      <w:r>
        <w:t xml:space="preserve">The Admin app also configures Etel Delivery operations (orders, couriers, service givers, delivery pricing) and platform-wide functions unrelated to either service line (Roles, Finance &amp; Planning, Danger Zone, internal Documents) — these are out of scope for this document.</w:t>
      </w:r>
    </w:p>
    <w:p>
      <w:r>
        <w:br w:type="page"/>
      </w:r>
    </w:p>
    <w:p>
      <w:pPr>
        <w:pStyle w:val="Heading1"/>
        <w:spacing w:after="150" w:before="300"/>
      </w:pPr>
      <w:r>
        <w:t xml:space="preserve">5. Equb (Rotating Savings) Guide</w:t>
      </w:r>
    </w:p>
    <w:p>
      <w:pPr>
        <w:spacing w:after="120"/>
      </w:pPr>
      <w:r>
        <w:t xml:space="preserve">Equb is a traditional Ethiopian rotating-savings benefit offered to Drivers (also available to Etel Delivery's Couriers, out of scope here).</w:t>
      </w:r>
    </w:p>
    <w:p>
      <w:pPr>
        <w:spacing w:after="60"/>
      </w:pPr>
      <w:r>
        <w:t xml:space="preserve">1. Browse available Equb groups and their contribution packages.</w:t>
      </w:r>
    </w:p>
    <w:p>
      <w:pPr>
        <w:spacing w:after="60"/>
      </w:pPr>
      <w:r>
        <w:t xml:space="preserve">2. Join a group and select a package.</w:t>
      </w:r>
    </w:p>
    <w:p>
      <w:pPr>
        <w:spacing w:after="60"/>
      </w:pPr>
      <w:r>
        <w:t xml:space="preserve">3. Make your contributions each round as tracked in the app.</w:t>
      </w:r>
    </w:p>
    <w:p>
      <w:pPr>
        <w:spacing w:after="60"/>
      </w:pPr>
      <w:r>
        <w:t xml:space="preserve">4. Payouts rotate among group members according to the group's schedule — track your position and payout history in the app.</w:t>
      </w:r>
    </w:p>
    <w:p>
      <w:pPr>
        <w:spacing w:after="120"/>
      </w:pPr>
      <w:r>
        <w:t xml:space="preserve">Admins manage group creation, package definitions, participant access, and can force-process a round if needed from the Admin app's Equb section.</w:t>
      </w:r>
    </w:p>
    <w:p>
      <w:r>
        <w:br w:type="page"/>
      </w:r>
    </w:p>
    <w:p>
      <w:pPr>
        <w:pStyle w:val="Heading1"/>
        <w:spacing w:after="150" w:before="300"/>
      </w:pPr>
      <w:r>
        <w:t xml:space="preserve">6. Getting Help</w:t>
      </w:r>
    </w:p>
    <w:p>
      <w:pPr>
        <w:pStyle w:val="ListParagraph"/>
        <w:numPr>
          <w:ilvl w:val="0"/>
          <w:numId w:val="1"/>
        </w:numPr>
        <w:spacing w:after="60"/>
      </w:pPr>
      <w:r>
        <w:t xml:space="preserve">Ride and order issues can be reported directly from the relevant ride screen.</w:t>
      </w:r>
    </w:p>
    <w:p>
      <w:pPr>
        <w:pStyle w:val="ListParagraph"/>
        <w:numPr>
          <w:ilvl w:val="0"/>
          <w:numId w:val="1"/>
        </w:numPr>
        <w:spacing w:after="60"/>
      </w:pPr>
      <w:r>
        <w:t xml:space="preserve">For account or payment problems not resolved in-app, contact Etel Group support through your organization's usual support channel.</w:t>
      </w:r>
    </w:p>
    <w:p>
      <w:pPr>
        <w:pStyle w:val="Heading2"/>
        <w:spacing w:after="120" w:before="250"/>
      </w:pPr>
      <w:r>
        <w:t xml:space="preserve">Document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600"/>
        <w:gridCol w:w="2600"/>
      </w:tblGrid>
      <w:tr>
        <w:trPr>
          <w:tblHeader/>
        </w:trPr>
        <w:tc>
          <w:tcPr>
            <w:tcW w:type="dxa" w:w="1200"/>
            <w:shd w:fill="1F2A1A" w:color="auto" w:val="clear"/>
            <w:tcMar>
              <w:top w:type="dxa" w:w="80"/>
              <w:left w:type="dxa" w:w="100"/>
              <w:bottom w:type="dxa" w:w="80"/>
              <w:right w:type="dxa" w:w="100"/>
            </w:tcMar>
          </w:tcPr>
          <w:p>
            <w:r>
              <w:rPr>
                <w:b/>
                <w:bCs/>
                <w:color w:val="FFFFFF"/>
                <w:sz w:val="20"/>
                <w:szCs w:val="20"/>
              </w:rPr>
              <w:t xml:space="preserve">Version</w:t>
            </w:r>
          </w:p>
        </w:tc>
        <w:tc>
          <w:tcPr>
            <w:tcW w:type="dxa" w:w="1600"/>
            <w:shd w:fill="1F2A1A" w:color="auto" w:val="clear"/>
            <w:tcMar>
              <w:top w:type="dxa" w:w="80"/>
              <w:left w:type="dxa" w:w="100"/>
              <w:bottom w:type="dxa" w:w="80"/>
              <w:right w:type="dxa" w:w="100"/>
            </w:tcMar>
          </w:tcPr>
          <w:p>
            <w:r>
              <w:rPr>
                <w:b/>
                <w:bCs/>
                <w:color w:val="FFFFFF"/>
                <w:sz w:val="20"/>
                <w:szCs w:val="20"/>
              </w:rPr>
              <w:t xml:space="preserve">Date</w:t>
            </w:r>
          </w:p>
        </w:tc>
        <w:tc>
          <w:tcPr>
            <w:tcW w:type="dxa" w:w="3600"/>
            <w:shd w:fill="1F2A1A" w:color="auto" w:val="clear"/>
            <w:tcMar>
              <w:top w:type="dxa" w:w="80"/>
              <w:left w:type="dxa" w:w="100"/>
              <w:bottom w:type="dxa" w:w="80"/>
              <w:right w:type="dxa" w:w="100"/>
            </w:tcMar>
          </w:tcPr>
          <w:p>
            <w:r>
              <w:rPr>
                <w:b/>
                <w:bCs/>
                <w:color w:val="FFFFFF"/>
                <w:sz w:val="20"/>
                <w:szCs w:val="20"/>
              </w:rPr>
              <w:t xml:space="preserve">Author</w:t>
            </w:r>
          </w:p>
        </w:tc>
        <w:tc>
          <w:tcPr>
            <w:tcW w:type="dxa" w:w="2600"/>
            <w:shd w:fill="1F2A1A" w:color="auto" w:val="clear"/>
            <w:tcMar>
              <w:top w:type="dxa" w:w="80"/>
              <w:left w:type="dxa" w:w="100"/>
              <w:bottom w:type="dxa" w:w="80"/>
              <w:right w:type="dxa" w:w="100"/>
            </w:tcMar>
          </w:tcPr>
          <w:p>
            <w:r>
              <w:rPr>
                <w:b/>
                <w:bCs/>
                <w:color w:val="FFFFFF"/>
                <w:sz w:val="20"/>
                <w:szCs w:val="20"/>
              </w:rPr>
              <w:t xml:space="preserve">Change</w:t>
            </w:r>
          </w:p>
        </w:tc>
      </w:tr>
      <w:tr>
        <w:tc>
          <w:tcPr>
            <w:tcW w:type="dxa" w:w="1200"/>
            <w:tcMar>
              <w:top w:type="dxa" w:w="80"/>
              <w:left w:type="dxa" w:w="100"/>
              <w:bottom w:type="dxa" w:w="80"/>
              <w:right w:type="dxa" w:w="100"/>
            </w:tcMar>
          </w:tcPr>
          <w:p>
            <w:r>
              <w:rPr>
                <w:b w:val="false"/>
                <w:bCs w:val="false"/>
                <w:color w:val="000000"/>
                <w:sz w:val="20"/>
                <w:szCs w:val="20"/>
              </w:rPr>
              <w:t xml:space="preserve">1.0</w:t>
            </w:r>
          </w:p>
        </w:tc>
        <w:tc>
          <w:tcPr>
            <w:tcW w:type="dxa" w:w="1600"/>
            <w:tcMar>
              <w:top w:type="dxa" w:w="80"/>
              <w:left w:type="dxa" w:w="100"/>
              <w:bottom w:type="dxa" w:w="80"/>
              <w:right w:type="dxa" w:w="100"/>
            </w:tcMar>
          </w:tcPr>
          <w:p>
            <w:r>
              <w:rPr>
                <w:b w:val="false"/>
                <w:bCs w:val="false"/>
                <w:color w:val="000000"/>
                <w:sz w:val="20"/>
                <w:szCs w:val="20"/>
              </w:rPr>
              <w:t xml:space="preserve">2026-09-23</w:t>
            </w:r>
          </w:p>
        </w:tc>
        <w:tc>
          <w:tcPr>
            <w:tcW w:type="dxa" w:w="3600"/>
            <w:tcMar>
              <w:top w:type="dxa" w:w="80"/>
              <w:left w:type="dxa" w:w="100"/>
              <w:bottom w:type="dxa" w:w="80"/>
              <w:right w:type="dxa" w:w="100"/>
            </w:tcMar>
          </w:tcPr>
          <w:p>
            <w:r>
              <w:rPr>
                <w:b w:val="false"/>
                <w:bCs w:val="false"/>
                <w:color w:val="000000"/>
                <w:sz w:val="20"/>
                <w:szCs w:val="20"/>
              </w:rPr>
              <w:t xml:space="preserve">Etel-FTBG</w:t>
            </w:r>
          </w:p>
        </w:tc>
        <w:tc>
          <w:tcPr>
            <w:tcW w:type="dxa" w:w="2600"/>
            <w:tcMar>
              <w:top w:type="dxa" w:w="80"/>
              <w:left w:type="dxa" w:w="100"/>
              <w:bottom w:type="dxa" w:w="80"/>
              <w:right w:type="dxa" w:w="100"/>
            </w:tcMar>
          </w:tcPr>
          <w:p>
            <w:r>
              <w:rPr>
                <w:b w:val="false"/>
                <w:bCs w:val="false"/>
                <w:color w:val="000000"/>
                <w:sz w:val="20"/>
                <w:szCs w:val="20"/>
              </w:rPr>
              <w:t xml:space="preserve">Initial Ride-scoped User Guide, narrowed from the combined Etel Delivery &amp; Ride User Guide to match the scope of Etel Group's permission request letter to INSA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2026-09-23T05:45:14.802Z</dcterms:created>
  <dcterms:modified xsi:type="dcterms:W3CDTF">2026-09-23T05:45:14.803Z</dcterms:modified>
</cp:coreProperties>
</file>

<file path=docProps/custom.xml><?xml version="1.0" encoding="utf-8"?>
<Properties xmlns="http://schemas.openxmlformats.org/officeDocument/2006/custom-properties" xmlns:vt="http://schemas.openxmlformats.org/officeDocument/2006/docPropsVTypes"/>
</file>