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905000" cy="2667000"/>
            <wp:effectExtent t="0" r="0" b="0" l="0"/>
            <wp:docPr id="1" name="logo" descr="ETEL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5C08"/>
          <w:sz w:val="18"/>
          <w:szCs w:val="18"/>
        </w:rPr>
        <w:t xml:space="preserve">LAUNCH PLAYBOOK · ETEL GROUP · HAWASSA</w:t>
      </w:r>
    </w:p>
    <w:p>
      <w:pPr>
        <w:jc w:val="center"/>
      </w:pPr>
      <w:r>
        <w:rPr>
          <w:rFonts w:ascii="Georgia" w:cs="Georgia" w:eastAsia="Georgia" w:hAnsi="Georgia"/>
          <w:b/>
          <w:bCs/>
          <w:sz w:val="80"/>
          <w:szCs w:val="80"/>
        </w:rPr>
        <w:t xml:space="preserve">ETEL </w:t>
      </w:r>
      <w:r>
        <w:rPr>
          <w:rFonts w:ascii="Georgia" w:cs="Georgia" w:eastAsia="Georgia" w:hAnsi="Georgia"/>
          <w:b/>
          <w:bCs/>
          <w:color w:val="7A5C08"/>
          <w:sz w:val="80"/>
          <w:szCs w:val="80"/>
        </w:rPr>
        <w:t xml:space="preserve">Delivery &amp; Ride</w:t>
      </w:r>
    </w:p>
    <w:p>
      <w:pPr>
        <w:spacing w:after="200" w:before="160"/>
        <w:jc w:val="center"/>
      </w:pPr>
      <w:r>
        <w:rPr>
          <w:rFonts w:ascii="Arial" w:cs="Arial" w:eastAsia="Arial" w:hAnsi="Arial"/>
          <w:color w:val="5C5137"/>
          <w:sz w:val="24"/>
          <w:szCs w:val="24"/>
        </w:rPr>
        <w:t xml:space="preserve">A step-by-step plan to take ETEL Delivery &amp; Ride from a working platform to a paying business in Hawassa.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rPr>
          <w:tblHeader/>
        </w:trPr>
        <w:tc>
          <w:tcPr>
            <w:tcW w:type="dxa" w:w="2409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Model</w:t>
            </w:r>
          </w:p>
        </w:tc>
        <w:tc>
          <w:tcPr>
            <w:tcW w:type="dxa" w:w="2409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Commission</w:t>
            </w:r>
          </w:p>
        </w:tc>
        <w:tc>
          <w:tcPr>
            <w:tcW w:type="dxa" w:w="241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Payments</w:t>
            </w:r>
          </w:p>
        </w:tc>
        <w:tc>
          <w:tcPr>
            <w:tcW w:type="dxa" w:w="241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Launch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Two-sided marketplace</w:t>
            </w:r>
          </w:p>
        </w:tc>
        <w:tc>
          <w:tcPr>
            <w:tcW w:type="dxa" w:w="2409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5% per merchant order</w:t>
            </w:r>
          </w:p>
        </w:tc>
        <w:tc>
          <w:tcPr>
            <w:tcW w:type="dxa" w:w="241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Telebirr, bank, EtelPay</w:t>
            </w:r>
          </w:p>
        </w:tc>
        <w:tc>
          <w:tcPr>
            <w:tcW w:type="dxa" w:w="241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One district first</w:t>
            </w:r>
          </w:p>
        </w:tc>
      </w:tr>
    </w:tbl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THE BIG PICTURE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Five phases from setup to scale</w:t>
      </w:r>
    </w:p>
    <w:p>
      <w:pPr>
        <w:spacing w:after="100"/>
      </w:pPr>
      <w:r>
        <w:rPr>
          <w:rFonts w:ascii="Arial" w:cs="Arial" w:eastAsia="Arial" w:hAnsi="Arial"/>
          <w:color w:val="5C5137"/>
          <w:sz w:val="21"/>
          <w:szCs w:val="21"/>
        </w:rPr>
        <w:t xml:space="preserve">Timings are planning assumptions. Move to the next phase only when the exit check of the current one is met.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6038"/>
      </w:tblGrid>
      <w:tr>
        <w:trPr>
          <w:tblHeader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When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Phase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Weeks 1-2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Legal, licences, bank and Telebirr accounts; pricing and commission rules; support line and team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Weeks 3-6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Build supply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Sign first merchants; recruit and vet couriers and drivers; train on the apps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Weeks 7-10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Soft launch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One district with invited customers; fix issues daily; test payouts end to end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Weeks 11-20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Grow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Open the city with public campaigns; promo codes and referrals; add merchant tools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Month 6+</w:t>
            </w:r>
          </w:p>
        </w:tc>
        <w:tc>
          <w:tcPr>
            <w:tcW w:type="dxa" w:w="2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Scale</w:t>
            </w:r>
          </w:p>
        </w:tc>
        <w:tc>
          <w:tcPr>
            <w:tcW w:type="dxa" w:w="60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Cross-sell Gebeya and Taxi; corporate accounts; plan the next city</w:t>
            </w:r>
          </w:p>
        </w:tc>
      </w:tr>
    </w:tbl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STEP BY STEP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Ten steps to launch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01  Lock the legal and financial base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Management · Weeks 1-2 · Output: licences, accounts, contracts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Confirm business licence and any transport or delivery permits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Open the bank account and confirm Telebirr merchant access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Draft merchant, courier and driver agreements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Decide who is responsible for finance, support and operations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up accounting and daily reconciliation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Buy insurance where required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02  Set pricing and commission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Finance · Weeks 1-2 · Output: price sheet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Confirm the 5% merchant commission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delivery fees by Hawassa zone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ride fares: metered and fixed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Decide courier and driver earning share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Write refund and cancellation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Enter all rates in the admin settings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03  Choose the launch district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Operations · Weeks 2-3 · Output: district map and target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Pick one dense district with many restaurants and shops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List 60 candidate merchants and rank them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Map pickup points and typical delivery distances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Check road and traffic patterns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Identify taxi stands and hotels for ride pickups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the district border and delivery radius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04  Sign the first merchants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Merchant success · Weeks 3-6 · Output: 20 signed merchants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Visit in person with a one-page offer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Load menus, items and photos into the platform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Give each merchant a login and a short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Agree preparation times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Explain payouts and the 5% commission clearly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Leave a printed quick guide and a support number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05  Recruit and vet couriers and drivers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Operations · Weeks 3-6 · Output: verified fleet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Advertise through agents, taxi stands and social media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Check ID, licence, vehicle and references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Register each in the driver or courier app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Train on accepting jobs, navigation and customer handling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Explain earnings and how wallet payouts 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Set a minimum-earnings guarantee for the first weeks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06  Test everything end to end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Product · Weeks 5-7 · Output: test report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Place real small orders from every merchant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every payment route: Telebirr, bank, EtelPay, cash if used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payouts to merchant, courier and driver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cancellations, refunds and failed payments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Run a security check on admin and payment endpoints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Take a full backup and rehearse a restore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07  Soft launch with invited customers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Growth · Weeks 7-10 · Output: first 200 orders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Invite friends, staff and nearby offices with a promo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Watch every order live in the admin panel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Call customers after delivery to collect feedback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Hold a daily 15-minute review of problems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Fix the top three issues each week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Publish nothing publicly yet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08  Open to the public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Marketing · Weeks 11-14 · Output: public launch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Launch on social media with a clear first-order offer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Put posters at merchants, taxi stands and campuses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Turn on referral rewards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Announce through local media and community groups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Feature the best merchants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 a welcome message in English and Amharic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09  Improve reliability and retention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Operations · Weeks 14-20 · Output: weekly scorecard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Review the KPI table every week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Remove merchants and drivers with poor ratings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Reward top performers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 loyalty rewards and wallet top-up bonuses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Shorten dispatch time with better courier positioning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Prepare a stronger hosting setup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10  Expand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7A5C08"/>
          <w:sz w:val="17"/>
          <w:szCs w:val="17"/>
        </w:rPr>
        <w:t xml:space="preserve">Management · Month 6+ · Output: growth plan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Open more districts one at a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 corporate accounts and merchant advertising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Cross-sell Gebeya, Taxi and EtelPay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 the calculator to confirm profit per order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Plan funding for the next 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Update this playbook with real numbers</w:t>
      </w: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HOW IT WORKS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The two core journeys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Delivery order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362200"/>
            <wp:effectExtent t="0" r="0" b="0" l="0"/>
            <wp:docPr id="2" name="flow_order.png" descr="flow_order.png" title="flow_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color w:val="5C5137"/>
          <w:sz w:val="18"/>
          <w:szCs w:val="18"/>
        </w:rPr>
        <w:t xml:space="preserve">Merchant share is the order value minus the 5% commission. The courier fee comes from the delivery fee.</w:t>
      </w:r>
    </w:p>
    <w:p>
      <w:pPr>
        <w:pStyle w:val="Heading2"/>
        <w:keepNext/>
        <w:spacing w:after="80" w:before="220"/>
      </w:pPr>
      <w:r>
        <w:rPr>
          <w:rFonts w:ascii="Georgia" w:cs="Georgia" w:eastAsia="Georgia" w:hAnsi="Georgia"/>
          <w:b/>
          <w:bCs/>
          <w:color w:val="7A5C08"/>
          <w:sz w:val="28"/>
          <w:szCs w:val="28"/>
        </w:rPr>
        <w:t xml:space="preserve">Ride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066925"/>
            <wp:effectExtent t="0" r="0" b="0" l="0"/>
            <wp:docPr id="3" name="flow_ride.png" descr="flow_ride.png" title="flow_r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color w:val="5C5137"/>
          <w:sz w:val="18"/>
          <w:szCs w:val="18"/>
        </w:rPr>
        <w:t xml:space="preserve">Platform keeps a share of each fare. The rate is still to be set.</w:t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WHY ETEL CAN WIN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One identity, one wallet, many services</w:t>
      </w:r>
    </w:p>
    <w:p>
      <w:pPr>
        <w:spacing w:after="100"/>
      </w:pPr>
      <w:r>
        <w:rPr>
          <w:rFonts w:ascii="Arial" w:cs="Arial" w:eastAsia="Arial" w:hAnsi="Arial"/>
          <w:color w:val="5C5137"/>
          <w:sz w:val="21"/>
          <w:szCs w:val="21"/>
        </w:rPr>
        <w:t xml:space="preserve">EtelID and EtelPay sit under every Etel app. A customer who signs up for delivery already has an account and a wallet for rides, the marketplace and taxi.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838450"/>
            <wp:effectExtent t="0" r="0" b="0" l="0"/>
            <wp:docPr id="4" name="ecosystem.png" descr="ecosystem.png" title="eco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MONEY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Unit economics</w:t>
      </w:r>
    </w:p>
    <w:p>
      <w:pPr>
        <w:spacing w:after="100"/>
      </w:pPr>
      <w:r>
        <w:rPr>
          <w:rFonts w:ascii="Arial" w:cs="Arial" w:eastAsia="Arial" w:hAnsi="Arial"/>
          <w:color w:val="5C5137"/>
          <w:sz w:val="21"/>
          <w:szCs w:val="21"/>
        </w:rPr>
        <w:t xml:space="preserve">Example inputs only. Replace them with your real numbers before making decisions.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Input (example)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Average order value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400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Commission on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Delivery fee charged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60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Courier share of fee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Orders per day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Payment fee per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3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Monthly fixed costs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150,000 ETB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Commission per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20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Delivery margin per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12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Payment fee per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-3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Contribution per order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29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Monthly contribution (30 days)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87,000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Monthly fixed costs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-150,000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Monthly result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-63,000 ETB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Break-even orders per day</w:t>
            </w:r>
          </w:p>
        </w:tc>
        <w:tc>
          <w:tcPr>
            <w:tcW w:type="dxa" w:w="40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173</w:t>
            </w:r>
          </w:p>
        </w:tc>
      </w:tr>
    </w:tbl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MEASURE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What to track every week</w:t>
      </w:r>
    </w:p>
    <w:p>
      <w:pPr>
        <w:spacing w:after="100"/>
      </w:pPr>
      <w:r>
        <w:rPr>
          <w:rFonts w:ascii="Arial" w:cs="Arial" w:eastAsia="Arial" w:hAnsi="Arial"/>
          <w:color w:val="5C5137"/>
          <w:sz w:val="21"/>
          <w:szCs w:val="21"/>
        </w:rPr>
        <w:t xml:space="preserve">Set a target for each metric with the team before the soft launch.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3538"/>
        <w:gridCol w:w="1400"/>
      </w:tblGrid>
      <w:tr>
        <w:trPr>
          <w:tblHeader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How to measure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Orders per day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Demand and revenue driver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Completed orders in the admin panel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Rides per day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Ride demand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Completed trips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Active merchants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Supply choice for customers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Merchants with at least one order in 7 days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Active couriers and drivers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Speed of pickup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Accounts online in 7 days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Minutes to delivery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Customer trust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Order placed to delivery confirmed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Repeat customers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Retention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Customers with 2 or more orders in 30 days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Cancelled or failed orders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Lost revenue and reputation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Cancelled divided by placed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Contribution per order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Profit health</w:t>
            </w:r>
          </w:p>
        </w:tc>
        <w:tc>
          <w:tcPr>
            <w:tcW w:type="dxa" w:w="35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Calculator, using real data</w:t>
            </w:r>
          </w:p>
        </w:tc>
        <w:tc>
          <w:tcPr>
            <w:tcW w:type="dxa" w:w="1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[set]</w:t>
            </w:r>
          </w:p>
        </w:tc>
      </w:tr>
    </w:tbl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BE READY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Risks and how to handle them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338"/>
      </w:tblGrid>
      <w:tr>
        <w:trPr>
          <w:tblHeader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Level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Too few couriers or drivers, so pickups are slow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High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Recruit ahead of demand, guarantee minimum earnings in the first weeks, launch one district only.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Merchants do not stay active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High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Weekly visits, fast payouts, show them their order numbers.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Payment or payout errors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High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Test payouts with small real orders before launch, daily reconciliation, clear dispute steps.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Platform downtime on shared hosting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Medium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Backups, uptime alerts, plan a move to stronger hosting before scaling.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Security and data protection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Medium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Keep audits current, limit admin access, review INSA findings.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Competitors copy prices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Medium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Compete on reliability and the one-login, one-wallet experience, not on discounts alone.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Regulation on wallets and ride-hailing</w:t>
            </w:r>
          </w:p>
        </w:tc>
        <w:tc>
          <w:tcPr>
            <w:tcW w:type="dxa" w:w="11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Medium</w:t>
            </w:r>
          </w:p>
        </w:tc>
        <w:tc>
          <w:tcPr>
            <w:tcW w:type="dxa" w:w="53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Confirm licences early with the relevant offices and get advice in writing.</w:t>
            </w:r>
          </w:p>
        </w:tc>
      </w:tr>
    </w:tbl>
    <w:p>
      <w:pPr>
        <w:spacing w:after="40" w:before="30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IDENTITY</w:t>
      </w: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/>
          <w:bCs/>
          <w:color w:val="1A1409"/>
          <w:sz w:val="40"/>
          <w:szCs w:val="40"/>
        </w:rPr>
        <w:t xml:space="preserve">Brand kit</w:t>
      </w:r>
    </w:p>
    <w:p>
      <w:pPr>
        <w:spacing w:after="100"/>
      </w:pPr>
      <w:r>
        <w:rPr>
          <w:rFonts w:ascii="Arial" w:cs="Arial" w:eastAsia="Arial" w:hAnsi="Arial"/>
          <w:color w:val="5C5137"/>
          <w:sz w:val="21"/>
          <w:szCs w:val="21"/>
        </w:rPr>
        <w:t xml:space="preserve">The mark is an E built from three bars, with a dotted route leaving it and ending at a location pin. It says both things the business does: it moves goods and people.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Carbon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Bright gold</w:t>
            </w:r>
          </w:p>
        </w:tc>
        <w:tc>
          <w:tcPr>
            <w:tcW w:type="dxa" w:w="24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9F1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Cream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#0D0B08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#D4AF37</w:t>
            </w:r>
          </w:p>
        </w:tc>
        <w:tc>
          <w:tcPr>
            <w:tcW w:type="dxa" w:w="2400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#F2CC6B</w:t>
            </w:r>
          </w:p>
        </w:tc>
        <w:tc>
          <w:tcPr>
            <w:tcW w:type="dxa" w:w="2438"/>
            <w:tcBorders>
              <w:top w:val="single" w:color="D9C98F" w:sz="4"/>
              <w:left w:val="single" w:color="D9C98F" w:sz="4"/>
              <w:bottom w:val="single" w:color="D9C98F" w:sz="4"/>
              <w:right w:val="single" w:color="D9C98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09"/>
                <w:sz w:val="19"/>
                <w:szCs w:val="19"/>
              </w:rPr>
              <w:t xml:space="preserve">#F5EFE0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color w:val="5C5137"/>
          <w:sz w:val="18"/>
          <w:szCs w:val="18"/>
        </w:rPr>
        <w:t xml:space="preserve">Type: Cormorant Garamond for headlines, DM Sans for text. Keep clear space around the mark equal to the width of one bar of the 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✓"/>
      <w:lvlJc w:val="left"/>
      <w:pPr>
        <w:ind w:left="360" w:hanging="260"/>
      </w:pPr>
      <w:rPr>
        <w:color w:val="7A5C0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6435c8df77041a8255fff9644195902d89dc9d5.png"/><Relationship Id="rId8" Type="http://schemas.openxmlformats.org/officeDocument/2006/relationships/image" Target="media/a31a43c264404572c3e356e389268d2d2ea55c8e.png"/><Relationship Id="rId9" Type="http://schemas.openxmlformats.org/officeDocument/2006/relationships/image" Target="media/2965f0ae23197a605fa6e4d8823ed9c0fc33127a.png"/><Relationship Id="rId10" Type="http://schemas.openxmlformats.org/officeDocument/2006/relationships/image" Target="media/a5224186bd130f9b4834d324735139515f3b76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2026-09-29T08:03:46.304Z</dcterms:created>
  <dcterms:modified xsi:type="dcterms:W3CDTF">2026-09-29T08:03:46.304Z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