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Унификация при закупке SSD-накопителей</w:t>
      </w:r>
    </w:p>
    <w:p>
      <w:pPr>
        <w:spacing w:after="150"/>
      </w:pPr>
      <w:r>
        <w:rPr>
          <w:sz w:val="24"/>
          <w:szCs w:val="24"/>
        </w:rPr>
        <w:t xml:space="preserve">Задание: подобрать партию SSD для IT-компании. Нужно указать 7 внешних систем и компонентов, с которыми должны быть совместимы накопители. Для каждого определить параметр унификации.</w:t>
      </w:r>
    </w:p>
    <w:p>
      <w:pPr>
        <w:spacing w:after="200"/>
      </w:pPr>
      <w:r>
        <w:rPr>
          <w:sz w:val="24"/>
          <w:szCs w:val="24"/>
        </w:rPr>
        <w:t xml:space="preserve">Все ёмкости взяты из одного ряда, кратного 240 ГБ. Это уже само по себе унификация типоразмерного ряда.</w:t>
      </w:r>
    </w:p>
    <w:p>
      <w:pPr>
        <w:spacing w:after="120" w:before="150"/>
      </w:pPr>
      <w:r>
        <w:rPr>
          <w:b/>
          <w:bCs/>
          <w:sz w:val="26"/>
          <w:szCs w:val="26"/>
        </w:rPr>
        <w:t xml:space="preserve">Распределение накопителей по подразделениям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55"/>
      </w:tblGrid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Отдел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Ёмкость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Бухгалтерия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Офисные документы, 1С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 ГБ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Отдел разработки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Код, контейнеры, СУБД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480 ГБ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Отдел дизайна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Графика, видео, макеты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960 ГБ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Серверный сегмент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Виртуальные машины, БД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1920 ГБ</w:t>
            </w:r>
          </w:p>
        </w:tc>
      </w:tr>
      <w:tr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Архивный сервер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Долговременное хранение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3840 ГБ</w:t>
            </w:r>
          </w:p>
        </w:tc>
      </w:tr>
    </w:tbl>
    <w:p>
      <w:pPr>
        <w:spacing w:after="120" w:before="250"/>
      </w:pPr>
      <w:r>
        <w:rPr>
          <w:b/>
          <w:bCs/>
          <w:sz w:val="26"/>
          <w:szCs w:val="26"/>
        </w:rPr>
        <w:t xml:space="preserve">Внешние системы и компоненты, с которыми должны быть совместимы накопители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55"/>
        <w:gridCol w:w="30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Зачем нужна совместимость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 унификации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Материнская плата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Накопитель должен физически устанавливаться в слот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Форм-фактор M.2 2280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Интерфейс PCI Express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Накопитель должен работать на полной скорости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Версия PCIe 4.0, число линий x4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Серверный backplane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Серверные накопители ставятся в корзины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Разъём U.2 / U.3, размер 2.5"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BIOS/UEFI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 накопителя должна загружаться система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Загрузка UEFI, таблица разделов GPT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охлаждения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NVMe-накопители сильно греются под нагрузкой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Рабочая температура до 70 °C, высота радиатора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резервного копирования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Серверы с БД и архив копируются по расписанию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Ресурс записи TBW / DWPD не ниже заданного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Система мониторинга</w:t>
            </w:r>
          </w:p>
        </w:tc>
        <w:tc>
          <w:tcPr>
            <w:tcW w:type="dxa" w:w="3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Состояние дисков отслеживается централизованно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Поддержка S.M.A.R.T.</w:t>
            </w:r>
          </w:p>
        </w:tc>
      </w:tr>
    </w:tbl>
    <w:p>
      <w:pPr>
        <w:spacing w:after="120" w:before="250"/>
      </w:pPr>
      <w:r>
        <w:rPr>
          <w:b/>
          <w:bCs/>
          <w:sz w:val="26"/>
          <w:szCs w:val="26"/>
        </w:rPr>
        <w:t xml:space="preserve">Вывод</w:t>
      </w:r>
    </w:p>
    <w:p>
      <w:pPr>
        <w:spacing w:after="120"/>
      </w:pPr>
      <w:r>
        <w:rPr>
          <w:sz w:val="24"/>
          <w:szCs w:val="24"/>
        </w:rPr>
        <w:t xml:space="preserve">При закупке SSD унифицируются форм-фактор, интерфейс, режим загрузки, тепловые характеристики, ресурс записи и средства диагностики.</w:t>
      </w:r>
    </w:p>
    <w:p>
      <w:pPr>
        <w:spacing w:after="100"/>
      </w:pPr>
      <w:r>
        <w:rPr>
          <w:sz w:val="24"/>
          <w:szCs w:val="24"/>
        </w:rPr>
        <w:t xml:space="preserve">Это сокращает число разных моделей, упрощает обслуживание и позволяет заменять накопители без переделки оборудования.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2026-10-05T11:34:18.846Z</dcterms:created>
  <dcterms:modified xsi:type="dcterms:W3CDTF">2026-10-05T11:34:18.846Z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