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Практическая работа</w:t>
      </w:r>
    </w:p>
    <w:p>
      <w:pPr>
        <w:spacing w:after="25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Сертификация и декларирование партии ноутбуков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Исходные данные: </w:t>
      </w:r>
      <w:r>
        <w:rPr>
          <w:sz w:val="24"/>
          <w:szCs w:val="24"/>
        </w:rPr>
        <w:t xml:space="preserve">на территорию Российской Федерации (в рамках ЕАЭС) поступила партия из 100 ноутбуков, произведённых в Китайской Народной Республике. Требуется определить подходящие схемы подтверждения соответствия — как сертификацию, так и декларирование, — обосновать сделанный выбор и сформировать пошаговые алгоритмы действий.</w:t>
      </w:r>
    </w:p>
    <w:p>
      <w:pPr>
        <w:spacing w:after="200"/>
      </w:pPr>
      <w:r>
        <w:rPr>
          <w:sz w:val="24"/>
          <w:szCs w:val="24"/>
        </w:rPr>
        <w:t xml:space="preserve">Поскольку ноутбуки относятся к низковольтному оборудованию и одновременно являются техническими средствами, на которые распространяются требования электромагнитной совместимости, к ним применяются следующие технические регламенты: ТР ТС 004/2011 «О безопасности низковольтного оборудования», ТР ТС 020/2011 «Электромагнитная совместимость технических средств» и ТР ЕАЭС 037/2016 «Об ограничении применения опасных веществ в изделиях электротехники и радиоэлектроники».</w:t>
      </w:r>
    </w:p>
    <w:p>
      <w:pPr>
        <w:spacing w:after="120" w:before="200"/>
      </w:pPr>
      <w:r>
        <w:rPr>
          <w:b/>
          <w:bCs/>
          <w:sz w:val="26"/>
          <w:szCs w:val="26"/>
        </w:rPr>
        <w:t xml:space="preserve">1. Выбор схемы сертификации — 3с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Обоснование выбора схемы 3с:</w:t>
      </w:r>
    </w:p>
    <w:p>
      <w:pPr>
        <w:spacing w:after="60"/>
      </w:pPr>
      <w:r>
        <w:rPr>
          <w:sz w:val="24"/>
          <w:szCs w:val="24"/>
        </w:rPr>
        <w:t xml:space="preserve">• Согласно Положению о типовых схемах оценки соответствия, схема 3с предназначена именно для партии продукции.</w:t>
      </w:r>
    </w:p>
    <w:p>
      <w:pPr>
        <w:spacing w:after="60"/>
      </w:pPr>
      <w:r>
        <w:rPr>
          <w:sz w:val="24"/>
          <w:szCs w:val="24"/>
        </w:rPr>
        <w:t xml:space="preserve">• Партия из 100 ноутбуков представляет собой разовую поставку, а не серийный выпуск продукции.</w:t>
      </w:r>
    </w:p>
    <w:p>
      <w:pPr>
        <w:spacing w:after="60"/>
      </w:pPr>
      <w:r>
        <w:rPr>
          <w:sz w:val="24"/>
          <w:szCs w:val="24"/>
        </w:rPr>
        <w:t xml:space="preserve">• Изготовитель расположен за пределами Таможенного союза (ЕАЭС), поэтому проведение анализа состояния производства невозможно.</w:t>
      </w:r>
    </w:p>
    <w:p>
      <w:pPr>
        <w:spacing w:after="150"/>
      </w:pPr>
      <w:r>
        <w:rPr>
          <w:sz w:val="24"/>
          <w:szCs w:val="24"/>
        </w:rPr>
        <w:t xml:space="preserve">• Выданный сертификат соответствия будет действовать только в отношении данной конкретной партии; последующий инспекционный контроль не требуется.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00"/>
        <w:gridCol w:w="2655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Схема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Применение по Положению</w:t>
            </w:r>
          </w:p>
        </w:tc>
        <w:tc>
          <w:tcPr>
            <w:tcW w:type="dxa" w:w="2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Подходит ли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1с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Серийная продукция</w:t>
            </w:r>
          </w:p>
        </w:tc>
        <w:tc>
          <w:tcPr>
            <w:tcW w:type="dxa" w:w="2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3с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Партия продукции</w:t>
            </w:r>
          </w:p>
        </w:tc>
        <w:tc>
          <w:tcPr>
            <w:tcW w:type="dxa" w:w="2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4с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Единичное изделие</w:t>
            </w:r>
          </w:p>
        </w:tc>
        <w:tc>
          <w:tcPr>
            <w:tcW w:type="dxa" w:w="2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7с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Сложная продукция для серийного производства</w:t>
            </w:r>
          </w:p>
        </w:tc>
        <w:tc>
          <w:tcPr>
            <w:tcW w:type="dxa" w:w="2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9с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Ограниченная партия иностранного изготовителя по документам</w:t>
            </w:r>
          </w:p>
        </w:tc>
        <w:tc>
          <w:tcPr>
            <w:tcW w:type="dxa" w:w="2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Нет, у поставщика нет полного пакета документов</w:t>
            </w:r>
          </w:p>
        </w:tc>
      </w:tr>
    </w:tbl>
    <w:p>
      <w:pPr>
        <w:spacing w:after="120" w:before="280"/>
      </w:pPr>
      <w:r>
        <w:rPr>
          <w:b/>
          <w:bCs/>
          <w:sz w:val="26"/>
          <w:szCs w:val="26"/>
        </w:rPr>
        <w:t xml:space="preserve">2. Выбор схемы декларирования — 4д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Обоснование выбора схемы 4д:</w:t>
      </w:r>
    </w:p>
    <w:p>
      <w:pPr>
        <w:spacing w:after="60"/>
      </w:pPr>
      <w:r>
        <w:rPr>
          <w:sz w:val="24"/>
          <w:szCs w:val="24"/>
        </w:rPr>
        <w:t xml:space="preserve">• Схема 4д применяется для партии продукции (а также единичного изделия).</w:t>
      </w:r>
    </w:p>
    <w:p>
      <w:pPr>
        <w:spacing w:after="60"/>
      </w:pPr>
      <w:r>
        <w:rPr>
          <w:sz w:val="24"/>
          <w:szCs w:val="24"/>
        </w:rPr>
        <w:t xml:space="preserve">• Доказательственные материалы формируются с обязательным участием аккредитованной испытательной лаборатории.</w:t>
      </w:r>
    </w:p>
    <w:p>
      <w:pPr>
        <w:spacing w:after="150"/>
      </w:pPr>
      <w:r>
        <w:rPr>
          <w:sz w:val="24"/>
          <w:szCs w:val="24"/>
        </w:rPr>
        <w:t xml:space="preserve">• Результаты испытаний, проведённых аккредитованной лабораторией, обладают высокой степенью доверия со стороны таможенных органов и органов государственного контроля (надзора).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00"/>
        <w:gridCol w:w="2655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Схема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Применение по Положению</w:t>
            </w:r>
          </w:p>
        </w:tc>
        <w:tc>
          <w:tcPr>
            <w:tcW w:type="dxa" w:w="2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Подходит ли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1д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Серийная продукция, собственные доказательства</w:t>
            </w:r>
          </w:p>
        </w:tc>
        <w:tc>
          <w:tcPr>
            <w:tcW w:type="dxa" w:w="2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2д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Партия, собственные доказательства</w:t>
            </w:r>
          </w:p>
        </w:tc>
        <w:tc>
          <w:tcPr>
            <w:tcW w:type="dxa" w:w="2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Частично, доказательства слабее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3д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Серийная продукция, аккредитованная лаборатория</w:t>
            </w:r>
          </w:p>
        </w:tc>
        <w:tc>
          <w:tcPr>
            <w:tcW w:type="dxa" w:w="2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4д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Партия, аккредитованная лаборатория</w:t>
            </w:r>
          </w:p>
        </w:tc>
        <w:tc>
          <w:tcPr>
            <w:tcW w:type="dxa" w:w="2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6д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Серийная продукция при наличии СМК</w:t>
            </w:r>
          </w:p>
        </w:tc>
        <w:tc>
          <w:tcPr>
            <w:tcW w:type="dxa" w:w="2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</w:tbl>
    <w:p>
      <w:pPr>
        <w:spacing w:after="120" w:before="280"/>
      </w:pPr>
      <w:r>
        <w:rPr>
          <w:b/>
          <w:bCs/>
          <w:sz w:val="26"/>
          <w:szCs w:val="26"/>
        </w:rPr>
        <w:t xml:space="preserve">3. Алгоритм действий при сертификации</w:t>
      </w:r>
    </w:p>
    <w:p>
      <w:pPr>
        <w:spacing w:after="120"/>
      </w:pPr>
      <w:r>
        <w:rPr>
          <w:sz w:val="24"/>
          <w:szCs w:val="24"/>
        </w:rPr>
        <w:t xml:space="preserve">Последовательность работ при подтверждении соответствия в форме сертификации по схеме 3с выглядит следующим образом: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5"/>
      </w:tblGrid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</w:t>
            </w:r>
          </w:p>
        </w:tc>
        <w:tc>
          <w:tcPr>
            <w:tcW w:type="dxa" w:w="8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Идентифицировать продукцию: наименование, модель, код ТН ВЭД 8471 30 000 0.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Определить технические регламенты, требованиям которых должны соответствовать ноутбуки.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Подготовить заявку и техническую документацию (контракт, инвойс, паспорт изделия, инструкция).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Направить заявку в орган по сертификации продукции.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Получить решение о проведении сертификации.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Обеспечить отбор образцов из партии.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Передать образцы в испытательную лабораторию и получить протоколы.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Получить сертификат соответствия на партию из 100 ноутбуков.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Нанести знак ЕАС и пройти таможенное оформление.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8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Хранить комплект документов не менее 10 лет.</w:t>
            </w:r>
          </w:p>
        </w:tc>
      </w:tr>
    </w:tbl>
    <w:p>
      <w:pPr>
        <w:spacing w:after="120" w:before="280"/>
      </w:pPr>
      <w:r>
        <w:rPr>
          <w:b/>
          <w:bCs/>
          <w:sz w:val="26"/>
          <w:szCs w:val="26"/>
        </w:rPr>
        <w:t xml:space="preserve">4. Алгоритм действий при декларировании</w:t>
      </w:r>
    </w:p>
    <w:p>
      <w:pPr>
        <w:spacing w:after="120"/>
      </w:pPr>
      <w:r>
        <w:rPr>
          <w:sz w:val="24"/>
          <w:szCs w:val="24"/>
        </w:rPr>
        <w:t xml:space="preserve">При выборе формы подтверждения соответствия в виде декларирования по схеме 4д рекомендуется придерживаться следующей последовательности: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5"/>
      </w:tblGrid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</w:t>
            </w:r>
          </w:p>
        </w:tc>
        <w:tc>
          <w:tcPr>
            <w:tcW w:type="dxa" w:w="8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Идентифицировать продукцию и определить технические регламенты.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Сформировать техническую документацию на партию.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Заключить договор с аккредитованной испытательной лабораторией.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Передать образцы на испытания и получить протоколы.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Принять декларацию о соответствии.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Зарегистрировать декларацию в едином реестре.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Нанести знак ЕАС на продукцию.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Выпустить партию в обращение и хранить документы не менее 10 лет.</w:t>
            </w:r>
          </w:p>
        </w:tc>
      </w:tr>
    </w:tbl>
    <w:p>
      <w:pPr>
        <w:spacing w:after="120" w:before="280"/>
      </w:pPr>
      <w:r>
        <w:rPr>
          <w:b/>
          <w:bCs/>
          <w:sz w:val="26"/>
          <w:szCs w:val="26"/>
        </w:rPr>
        <w:t xml:space="preserve">Выводы</w:t>
      </w:r>
    </w:p>
    <w:p>
      <w:pPr>
        <w:spacing w:after="120"/>
      </w:pPr>
      <w:r>
        <w:rPr>
          <w:sz w:val="24"/>
          <w:szCs w:val="24"/>
        </w:rPr>
        <w:t xml:space="preserve">Для партии ноутбуков в количестве 100 штук, ввезённых из Китая, оптимальными являются схема сертификации 3с и схема декларирования 4д.</w:t>
      </w:r>
    </w:p>
    <w:p>
      <w:pPr>
        <w:spacing w:after="120"/>
      </w:pPr>
      <w:r>
        <w:rPr>
          <w:sz w:val="24"/>
          <w:szCs w:val="24"/>
        </w:rPr>
        <w:t xml:space="preserve">Данный выбор обусловлен следующими факторами: продукция поступила единой партией (а не как серийный выпуск); производственные площадки иностранного изготовителя недоступны для проведения анализа состояния производства; достоверность подтверждения соответствия обеспечивается за счёт испытаний, выполненных в аккредитованной испытательной лаборатории.</w:t>
      </w:r>
    </w:p>
    <w:p>
      <w:pPr>
        <w:spacing w:after="80"/>
      </w:pPr>
      <w:r>
        <w:rPr>
          <w:sz w:val="24"/>
          <w:szCs w:val="24"/>
        </w:rPr>
        <w:t xml:space="preserve">Применение указанных схем позволяет корректно оформить разрешительные документы, пройти таможенное оформление и ввести продукцию в обращение на территории Евразийского экономического союза с соблюдением всех установленных требований.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2026-10-05T11:31:39.817Z</dcterms:created>
  <dcterms:modified xsi:type="dcterms:W3CDTF">2026-10-05T11:31:39.817Z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