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Сравнение ГОСТ 19.102-77 и ГОСТ 34.601-90</w:t>
      </w:r>
    </w:p>
    <w:p>
      <w:pPr>
        <w:spacing w:after="150"/>
      </w:pPr>
      <w:r>
        <w:rPr>
          <w:sz w:val="24"/>
          <w:szCs w:val="24"/>
        </w:rPr>
        <w:t xml:space="preserve">Главное отличие в том, на что именно рассчитан стандарт. ГОСТ 19.102-77 применяется только для разработки отдельной программы (ПО). А ГОСТ 34.601-90 описывает создание целой автоматизированной системы (АС). В АС входит не только программа, но ещё железо, персонал, организация работы и потоки информации.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0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Стадии по ГОСТ 19.102-77 (Программа)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Стадии по ГОСТ 34.601-90 (Автоматизированная система)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Основная суть и разница на данном этапе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Отсутствует как отдельная стадия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 Формирование требований к АС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2. Разработка концепции АС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 ГОСТ 34 есть большой блок предпроектных работ: обследование предприятия, изучение объекта автоматизации, обоснование нужности системы. В ГОСТ 19 этого нет, там считается, что задача для программы уже понятна.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 Техническое задание (ТЗ)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3. Техническое задание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19: требования к коду, функциям программы и документации.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34: требования ко всей системе (режимы работы, надёжность, железо, квалификация персонала).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2. Эскизный проект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4. Эскизный проект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19: проектирование алгоритмов, структуры входных и выходных данных.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34: предварительные решения по системе, её частям и видам обеспечения (информационному, техническому).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3. Технический проект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5. Технический проект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19: окончательные алгоритмы и пояснительные записки.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34: утверждение решений по системе, планы размещения оборудования, спецификации на закупку железа.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4. Рабочий проект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6. Рабочая документация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7. Ввод в действие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19: на этой стадии пишут код, отлаживают программу и проводят испытания.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34: подготовка объекта, монтаж оборудования, пусконаладка, обучение сотрудников, опытная эксплуатация и приёмка всей АС.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5. Внедрение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Частично покрывается стадией Ввод в действие и стадией 8. Сопровождение АС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19: передача программы в производство и оформление акта.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ГОСТ 34: гарантийные обязательства и обслуживание работающего комплекса (включая техподдержку).</w:t>
            </w:r>
          </w:p>
        </w:tc>
      </w:tr>
    </w:tbl>
    <w:p>
      <w:pPr>
        <w:spacing w:after="120" w:before="250"/>
      </w:pPr>
      <w:r>
        <w:rPr>
          <w:b/>
          <w:bCs/>
          <w:sz w:val="26"/>
          <w:szCs w:val="26"/>
        </w:rPr>
        <w:t xml:space="preserve">Почему стадии разные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1. Масштаб и компоненты объекта</w:t>
      </w:r>
    </w:p>
    <w:p>
      <w:pPr>
        <w:spacing w:after="60"/>
      </w:pPr>
      <w:r>
        <w:rPr>
          <w:sz w:val="24"/>
          <w:szCs w:val="24"/>
        </w:rPr>
        <w:t xml:space="preserve">Программа (ГОСТ 19) - это просто набор инструкций для компьютера. Для её создания не нужно нанимать строителей, покупать серверные шкафы, тянуть кабели или менять должностные инструкции.</w:t>
      </w:r>
    </w:p>
    <w:p>
      <w:pPr>
        <w:spacing w:after="120"/>
      </w:pPr>
      <w:r>
        <w:rPr>
          <w:sz w:val="24"/>
          <w:szCs w:val="24"/>
        </w:rPr>
        <w:t xml:space="preserve">Автоматизированная система (ГОСТ 34) - это уже целый комплекс. В неё входят железо, сети, организационные процессы, регламенты работы людей и сама программа как один из элементов.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2. Характер работ</w:t>
      </w:r>
    </w:p>
    <w:p>
      <w:pPr>
        <w:spacing w:after="60"/>
      </w:pPr>
      <w:r>
        <w:rPr>
          <w:sz w:val="24"/>
          <w:szCs w:val="24"/>
        </w:rPr>
        <w:t xml:space="preserve">По ГОСТ 19 главное - написать код, отладить его и оформить документацию.</w:t>
      </w:r>
    </w:p>
    <w:p>
      <w:pPr>
        <w:spacing w:after="150"/>
      </w:pPr>
      <w:r>
        <w:rPr>
          <w:sz w:val="24"/>
          <w:szCs w:val="24"/>
        </w:rPr>
        <w:t xml:space="preserve">По ГОСТ 34 важнее обследовать бизнес-процессы заказчика, интегрировать разные ИТ-компоненты, смонтировать оборудование и научить персонал работать по новым правилам.</w:t>
      </w:r>
    </w:p>
    <w:p>
      <w:pPr>
        <w:spacing w:after="120" w:before="150"/>
      </w:pPr>
      <w:r>
        <w:rPr>
          <w:b/>
          <w:bCs/>
          <w:sz w:val="26"/>
          <w:szCs w:val="26"/>
        </w:rPr>
        <w:t xml:space="preserve">Постановление 2425</w:t>
      </w:r>
    </w:p>
    <w:p>
      <w:pPr>
        <w:spacing w:after="100"/>
      </w:pPr>
      <w:r>
        <w:rPr>
          <w:sz w:val="24"/>
          <w:szCs w:val="24"/>
        </w:rPr>
        <w:t xml:space="preserve">В Единых перечнях продукции Постановления Правительства РФ от 23.12.2021 № 2425 позиция «Портативные компьютеры» отсутствует. Этот вид продукции подлежит обязательному подтверждению соответствия требованиям ТР ТС 004/2011, ТР ТС 020/2011 и ТР ЕАЭС 037/2016.</w:t>
      </w:r>
    </w:p>
    <w:sectPr>
      <w:pgSz w:w="11906" w:h="16838" w:orient="portrait"/>
      <w:pgMar w:top="1000" w:right="8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2026-10-05T12:08:40.529Z</dcterms:created>
  <dcterms:modified xsi:type="dcterms:W3CDTF">2026-10-05T12:08:40.530Z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