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left"/>
        <w:spacing w:line="360" w:lineRule="auto" w:beforeLines="50" w:before="120" w:afterLines="50" w:after="120"/>
        <w:ind w:firstLine="0" w:firstLineChars="0" w:left="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Vehicle，ROV）实验平台方案及相关结构数据开展研究（平台实物如图1所示）。该平台采用双圆筒耐压舱与碳纤维板紧凑集成的结构形式，具备水平面4台矢量倾斜与垂直面4台垂向对称布置的八推进器驱动能力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highlight w:val="yellow"/>
        </w:rPr>
        <w:t>图1 实验室八推进器便携式水下航行器实验平台实物图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 PX4/SITL 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系统提出了海洋航行器六自由度非线性矢量建模理论体系。该体系将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提出了基于自由衰减试验（Free Decay Tests）辨识水下航行器水动力系数的方法，通过释放初始位移并记录单自由度衰减振荡曲线即可解算出主要惯性与阻尼参数；Avila 等</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水下航行器开展了实验水动力模型辨识研究，结合阶跃推力激励与频域响应分析对附加质量与流体阻尼特性进行了定量标定；Chin 与 Lau</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开展了水动力阻尼建模与试验对比，分析了不同速度区间线性阻尼与二次非线性阻尼的主导权重。国内哈尔滨工程大学高婷、庞永杰等</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针对复杂构型水下航行器水动力系数计算方法开展了系统研究，结合几何特征分析与试验修正建立了面向控制设计的实用化模型。</w:t>
      </w:r>
      <w:r>
        <w:rPr>
          <w:rFonts w:ascii="Times New Roman" w:hAnsi="Times New Roman" w:cs="Times New Roman" w:eastAsia="宋体"/>
          <w:b w:val="0"/>
          <w:i w:val="0"/>
          <w:color w:val="000000"/>
          <w:sz w:val="24"/>
        </w:rPr>
        <w:t>近年来，von Benzon 等</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面向主流八推进器 BlueROV2 平台建立了开源物理仿真与动力学基准，提供了标准化的模型参数与对比基础。这表明，直接采用经典六自由度动力学方程结构、对水动力矩阵做合理工程简化，并结合特征激励响应数据通过参数拟合辨识未知水动力系数，是构建水下航行器实用化动力学模型的成熟路径。</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在常规工程实践与开源水下飞控中，不依赖动力学模型的独立单回路 PID 或串级 PID 控制应用最为广泛，其在平稳水流环境下的定点悬停或低速巡航中具备结构简单、易于初调的优势</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针对观测级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；Chu 等</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围绕非线性解耦与抗扰，基于反馈线性化、动态逆以及增量非线性动态逆（INDI）的控制方法也受到广泛关注，例如 Slawik 等</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将增量动态逆方法引入水下航行器姿态控制中，利用机体惯性与控制效能模型配合高频状态反馈在局部时间微元内抵消未建模水动力阻尼与外部流扰，展现出良好的抗扰能力。</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而言，其独立的物理执行器数量（8个推进器）大于空间六自由度广义力与力矩的数量（6个控制维度），属于典型的过驱动（Over-actuated）冗余控制系统。上层运动控制器计算出的是机体所需的六维期望广义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，而实际作用于水体的是各推进器产生的推力矢量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控制分配综述中系统总结了过驱动系统无约束广义逆、加权伪逆、有界优化及再分配等典型推力分配方法的理论框架。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针对水下机器人推力器物理输出上限，研究了基于可行方向法等处理推力边界约束的分配算法，</w:t>
      </w:r>
      <w:r>
        <w:rPr>
          <w:rFonts w:ascii="Times New Roman" w:hAnsi="Times New Roman" w:cs="Times New Roman" w:eastAsia="宋体"/>
          <w:b w:val="0"/>
          <w:i w:val="0"/>
          <w:color w:val="000000"/>
          <w:sz w:val="24"/>
        </w:rPr>
        <w:t>有效减小了推力饱和引起的力矩畸变</w:t>
      </w:r>
      <w:r>
        <w:rPr>
          <w:rFonts w:ascii="Times New Roman" w:hAnsi="Times New Roman" w:cs="Times New Roman" w:eastAsia="宋体"/>
          <w:b w:val="0"/>
          <w:i w:val="0"/>
          <w:color w:val="000000"/>
          <w:sz w:val="24"/>
        </w:rPr>
        <w:t>；孙广威等</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针对矢量推进 ROV 提出了兼顾推力约束与分配效率的多级推力分配策略，</w:t>
      </w:r>
      <w:r>
        <w:rPr>
          <w:rFonts w:ascii="Times New Roman" w:hAnsi="Times New Roman" w:cs="Times New Roman" w:eastAsia="宋体"/>
          <w:b w:val="0"/>
          <w:i w:val="0"/>
          <w:color w:val="000000"/>
          <w:sz w:val="24"/>
        </w:rPr>
        <w:t>提升了多推进器协调能力。由此可见，</w:t>
      </w:r>
      <w:r>
        <w:rPr>
          <w:rFonts w:ascii="Times New Roman" w:hAnsi="Times New Roman" w:cs="Times New Roman" w:eastAsia="宋体"/>
          <w:b w:val="0"/>
          <w:i w:val="0"/>
          <w:color w:val="000000"/>
          <w:sz w:val="24"/>
          <w:highlight w:val="yellow"/>
        </w:rPr>
        <w:t>依据平台八推进器真实几何构型建立准确的</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主导研发的 PX4 Autopilot 是当前无人系统领域广泛应用的开源嵌入式控制软件框架之一。PX4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依托基于 PX4 的软件在环仿真与水池实验完成了 HippoCampus X 水下平台的三维机动控制验证，证实了基于 PX4/SITL 构建水下航行器闭环仿真与验证体系的工程合理性。</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建立基于平台真实推进器空间布局的</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根据平台八推进器空间安装位置与推力方向建立</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与附体坐标系</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，记航行器广义位置与姿态角矢量为</w:t>
      </w:r>
      <m:oMath>
        <m:r>
          <m:rPr>
            <m:sty m:val="bi"/>
          </m:rPr>
          <w:rPr>
            <w:rFonts w:ascii="Cambria Math" w:hAnsi="Cambria Math" w:eastAsia="宋体"/>
            <w:sz w:val="24"/>
            <w:szCs w:val="24"/>
          </w:rPr>
          <m:t>η</m:t>
        </m:r>
        <m:r>
          <m:rPr>
            <m:sty m:val="p"/>
          </m:rPr>
          <w:rPr>
            <w:rFonts w:ascii="Cambria Math" w:hAnsi="Cambria Math" w:eastAsia="宋体"/>
            <w:sz w:val="24"/>
            <w:szCs w:val="24"/>
          </w:rPr>
          <m:t>=[</m:t>
        </m:r>
        <m:r>
          <m:rPr>
            <m:sty m:val="i"/>
          </m:rPr>
          <w:rPr>
            <w:rFonts w:ascii="Cambria Math" w:hAnsi="Cambria Math" w:eastAsia="宋体"/>
            <w:sz w:val="24"/>
            <w:szCs w:val="24"/>
          </w:rPr>
          <m:t>x</m:t>
        </m:r>
        <m:r>
          <m:rPr>
            <m:sty m:val="p"/>
          </m:rPr>
          <w:rPr>
            <w:rFonts w:ascii="Cambria Math" w:hAnsi="Cambria Math" w:eastAsia="宋体"/>
            <w:sz w:val="24"/>
            <w:szCs w:val="24"/>
          </w:rPr>
          <m:t>,</m:t>
        </m:r>
        <m:r>
          <m:rPr>
            <m:sty m:val="i"/>
          </m:rPr>
          <w:rPr>
            <w:rFonts w:ascii="Cambria Math" w:hAnsi="Cambria Math" w:eastAsia="宋体"/>
            <w:sz w:val="24"/>
            <w:szCs w:val="24"/>
          </w:rPr>
          <m:t>y</m:t>
        </m:r>
        <m:r>
          <m:rPr>
            <m:sty m:val="p"/>
          </m:rPr>
          <w:rPr>
            <w:rFonts w:ascii="Cambria Math" w:hAnsi="Cambria Math" w:eastAsia="宋体"/>
            <w:sz w:val="24"/>
            <w:szCs w:val="24"/>
          </w:rPr>
          <m:t>,</m:t>
        </m:r>
        <m:r>
          <m:rPr>
            <m:sty m:val="i"/>
          </m:rPr>
          <w:rPr>
            <w:rFonts w:ascii="Cambria Math" w:hAnsi="Cambria Math" w:eastAsia="宋体"/>
            <w:sz w:val="24"/>
            <w:szCs w:val="24"/>
          </w:rPr>
          <m:t>z</m:t>
        </m:r>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，附体系线速度与角速度矢量为</w:t>
      </w:r>
      <m:oMath>
        <m:r>
          <m:rPr>
            <m:sty m:val="bi"/>
          </m:rPr>
          <w:rPr>
            <w:rFonts w:ascii="Cambria Math" w:hAnsi="Cambria Math" w:eastAsia="宋体"/>
            <w:sz w:val="24"/>
            <w:szCs w:val="24"/>
          </w:rPr>
          <m:t>ν</m:t>
        </m:r>
        <m:r>
          <m:rPr>
            <m:sty m:val="p"/>
          </m:rPr>
          <w:rPr>
            <w:rFonts w:ascii="Cambria Math" w:hAnsi="Cambria Math" w:eastAsia="宋体"/>
            <w:sz w:val="24"/>
            <w:szCs w:val="24"/>
          </w:rPr>
          <m:t>=[</m:t>
        </m:r>
        <m:r>
          <m:rPr>
            <m:sty m:val="i"/>
          </m:rPr>
          <w:rPr>
            <w:rFonts w:ascii="Cambria Math" w:hAnsi="Cambria Math" w:eastAsia="宋体"/>
            <w:sz w:val="24"/>
            <w:szCs w:val="24"/>
          </w:rPr>
          <m:t>u</m:t>
        </m:r>
        <m:r>
          <m:rPr>
            <m:sty m:val="p"/>
          </m:rPr>
          <w:rPr>
            <w:rFonts w:ascii="Cambria Math" w:hAnsi="Cambria Math" w:eastAsia="宋体"/>
            <w:sz w:val="24"/>
            <w:szCs w:val="24"/>
          </w:rPr>
          <m:t>,</m:t>
        </m:r>
        <m:r>
          <m:rPr>
            <m:sty m:val="i"/>
          </m:rPr>
          <w:rPr>
            <w:rFonts w:ascii="Cambria Math" w:hAnsi="Cambria Math" w:eastAsia="宋体"/>
            <w:sz w:val="24"/>
            <w:szCs w:val="24"/>
          </w:rPr>
          <m:t>v</m:t>
        </m:r>
        <m:r>
          <m:rPr>
            <m:sty m:val="p"/>
          </m:rPr>
          <w:rPr>
            <w:rFonts w:ascii="Cambria Math" w:hAnsi="Cambria Math" w:eastAsia="宋体"/>
            <w:sz w:val="24"/>
            <w:szCs w:val="24"/>
          </w:rPr>
          <m:t>,</m:t>
        </m:r>
        <m:r>
          <m:rPr>
            <m:sty m:val="i"/>
          </m:rPr>
          <w:rPr>
            <w:rFonts w:ascii="Cambria Math" w:hAnsi="Cambria Math" w:eastAsia="宋体"/>
            <w:sz w:val="24"/>
            <w:szCs w:val="24"/>
          </w:rPr>
          <m:t>w</m:t>
        </m:r>
        <m:r>
          <m:rPr>
            <m:sty m:val="p"/>
          </m:rPr>
          <w:rPr>
            <w:rFonts w:ascii="Cambria Math" w:hAnsi="Cambria Math" w:eastAsia="宋体"/>
            <w:sz w:val="24"/>
            <w:szCs w:val="24"/>
          </w:rPr>
          <m:t>,</m:t>
        </m:r>
        <m:r>
          <m:rPr>
            <m:sty m:val="i"/>
          </m:rPr>
          <w:rPr>
            <w:rFonts w:ascii="Cambria Math" w:hAnsi="Cambria Math" w:eastAsia="宋体"/>
            <w:sz w:val="24"/>
            <w:szCs w:val="24"/>
          </w:rPr>
          <m:t>p</m:t>
        </m:r>
        <m:r>
          <m:rPr>
            <m:sty m:val="p"/>
          </m:rPr>
          <w:rPr>
            <w:rFonts w:ascii="Cambria Math" w:hAnsi="Cambria Math" w:eastAsia="宋体"/>
            <w:sz w:val="24"/>
            <w:szCs w:val="24"/>
          </w:rPr>
          <m:t>,</m:t>
        </m:r>
        <m:r>
          <m:rPr>
            <m:sty m:val="i"/>
          </m:rPr>
          <w:rPr>
            <w:rFonts w:ascii="Cambria Math" w:hAnsi="Cambria Math" w:eastAsia="宋体"/>
            <w:sz w:val="24"/>
            <w:szCs w:val="24"/>
          </w:rPr>
          <m:t>q</m:t>
        </m:r>
        <m:r>
          <m:rPr>
            <m:sty m:val="p"/>
          </m:rPr>
          <w:rPr>
            <w:rFonts w:ascii="Cambria Math" w:hAnsi="Cambria Math" w:eastAsia="宋体"/>
            <w:sz w:val="24"/>
            <w:szCs w:val="24"/>
          </w:rPr>
          <m:t>,</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6"/>
        <w:jc w:val="left"/>
        <w:spacing w:line="360" w:lineRule="auto"/>
        <w:ind w:firstLine="0" w:firstLineChars="0" w:left="0"/>
        <w:tabs>
          <w:tab w:val="center" w:pos="4156"/>
          <w:tab w:val="right" w:pos="8313"/>
        </w:tabs>
      </w:pPr>
      <w:r>
        <w:tab/>
      </w:r>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m:t>
        </m:r>
        <m:r>
          <m:rPr>
            <m:sty m:val="bi"/>
          </m:rPr>
          <w:rPr>
            <w:rFonts w:ascii="Cambria Math" w:hAnsi="Cambria Math" w:eastAsia="宋体"/>
            <w:sz w:val="24"/>
            <w:szCs w:val="24"/>
          </w:rPr>
          <m:t>τ</m:t>
        </m:r>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tab/>
      </w:r>
      <w:r>
        <w:rPr>
          <w:rFonts w:ascii="Times New Roman" w:hAnsi="Times New Roman" w:cs="Times New Roman" w:eastAsia="宋体"/>
          <w:b w:val="0"/>
          <w:i w:val="0"/>
          <w:color w:val="000000"/>
          <w:sz w:val="24"/>
        </w:rPr>
        <w:t>(1)</w:t>
      </w:r>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在参数获取与辨识上，首先由图1所示平台的三维装配模型直接提取整机质量、转动惯量张量及重浮心相对坐标，计算刚体惯性矩阵</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、刚体科氏力矩阵</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与恢复力矩项</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；依据单推进器推力测试数据，通过多项式拟合建立控制输入到静态推力输出</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的映射函数，并确定正向与反向推力上下界</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。其次，考虑便携式水下航行器低速作业特点与机体近似对称性，忽略次要的非对角交叉水动力耦合项，将附加质量矩阵</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（其中</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为各自由度附加质量水动力导数）以及线性、二次阻尼矩阵</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简化为对角阵。在各自由度阶跃推力或自由衰减特征激励下，将式(1)整理为关于未知对角水动力系数的参数化辨识方程，利用输入推力与速度/姿态响应序列，通过最小二乘法或非线性最小二乘曲线拟合求解未知参数，并将辨识参数代回式(1)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设参考位置与姿态指令为</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、参考速度为</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，定义位置/姿态误差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与速度误差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。控制器输出的六维期望广义控制力与力矩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由闭环状态反馈项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与动力学模型补偿项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叠加构成（即</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）。其中，闭环状态误差反馈项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针对水平位置/速度、潜深</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、横滚与俯仰姿态角</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及航向角</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等控制通道，采用基于位置/姿态误差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与速度/角速度误差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的串级或比例-积分-微分（PID）反馈结构，保障基础闭环稳定性并消除稳态误差；动力学模型特性补偿项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结合模块一辨识得到的航行器动力学模型，在控制律中引入恢复力矩项</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与主导水动力阻尼项</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的前馈补偿，或结合惯性矩阵</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与状态导数信息构造反馈线性化、增量动态逆（INDI）等动态逆补偿律，用于主动抵消已知非线性水动力负载与多轴耦合影响。当取</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结合图1(b)所示的推进器空间排布，将水平面四角呈</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矢量倾斜对称安装的4台推进器记为</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（主控纵荡、横荡与偏航），将垂直面两侧垂向对称安装的4台推进器记为</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highlight w:val="yellow"/>
        </w:rPr>
        <w:t>设第</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台推进器（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=1,…,8</m:t>
        </m:r>
      </m:oMath>
      <w:r>
        <w:rPr>
          <w:rFonts w:ascii="Times New Roman" w:hAnsi="Times New Roman" w:cs="Times New Roman" w:eastAsia="宋体"/>
          <w:b w:val="0"/>
          <w:i w:val="0"/>
          <w:color w:val="000000"/>
          <w:sz w:val="24"/>
          <w:highlight w:val="yellow"/>
        </w:rPr>
        <w:t>）在附体系下的安装位置矢量为</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、单位推力方向矢量为</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，构造</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，并在推力边界约束下求解推进器推力指令矢量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6"/>
        <w:jc w:val="left"/>
        <w:spacing w:line="360" w:lineRule="auto"/>
        <w:ind w:firstLine="0" w:firstLineChars="0" w:left="0"/>
        <w:tabs>
          <w:tab w:val="center" w:pos="4156"/>
          <w:tab w:val="right" w:pos="8313"/>
        </w:tabs>
      </w:pPr>
      <w:r>
        <w:tab/>
      </w:r>
      <m:oMath>
        <m:r>
          <m:rPr>
            <m:sty m:val="bi"/>
          </m:rPr>
          <w:rPr>
            <w:rFonts w:ascii="Cambria Math" w:hAnsi="Cambria Math" w:eastAsia="宋体"/>
            <w:sz w:val="24"/>
            <w:szCs w:val="24"/>
          </w:rPr>
          <m:t>τ</m:t>
        </m:r>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oMath>
      <w:r>
        <w:tab/>
      </w:r>
      <w:r>
        <w:rPr>
          <w:rFonts w:ascii="Times New Roman" w:hAnsi="Times New Roman" w:cs="Times New Roman" w:eastAsia="宋体"/>
          <w:b w:val="0"/>
          <w:i w:val="0"/>
          <w:color w:val="000000"/>
          <w:sz w:val="24"/>
        </w:rPr>
        <w:t>(2)</w:t>
      </w:r>
    </w:p>
    <w:p>
      <w:pPr>
        <w:pStyle w:val="a7"/>
        <w:jc w:val="both"/>
        <w:spacing w:line="360" w:lineRule="auto"/>
        <w:ind w:firstLineChars="200" w:firstLine="480"/>
      </w:pPr>
      <w:r>
        <w:rPr>
          <w:rFonts w:ascii="Times New Roman" w:hAnsi="Times New Roman" w:cs="Times New Roman" w:eastAsia="宋体"/>
          <w:b w:val="0"/>
          <w:i w:val="0"/>
          <w:color w:val="000000"/>
          <w:sz w:val="24"/>
        </w:rPr>
        <w:t>具体求解时，先由 Moore-Penrose 伪逆或加权伪逆</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计算最小二乘范数基准解</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。当期望广义力/力矩较大导致</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中存在超出</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）引起的合成力矩方向偏转；通过与无约束伪逆直接硬截断方案对比，分析控制分配残差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oMath>
      <w:r>
        <w:rPr>
          <w:rFonts w:ascii="Times New Roman" w:hAnsi="Times New Roman" w:cs="Times New Roman" w:eastAsia="宋体"/>
          <w:b w:val="0"/>
          <w:i w:val="0"/>
          <w:color w:val="000000"/>
          <w:sz w:val="24"/>
        </w:rPr>
        <w:t>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依托 PX4 模块化软件架构与 uORB 异步发布-订阅消息总线，在 SITL 环境中集成水下航行器六自由度动力学仿真模块（订阅推进器指令并按式(1)实时数值积分发布位姿与速度 uORB 消息）、运动控制模块（订阅参考指令与状态反馈消息，计算并发布期望广义力/力矩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）以及八推进器控制分配模块（订阅</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，按式(2)解算并发布8通道推进器推力指令）。设置空间定点悬停、姿态阶跃稳定、定深跟踪、定航转向以及叠加外部水流扰动</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等仿真工况，通过 ULog 日志记录全状态响应数据，对比评估不同控制与分配方案的位置/姿态跟踪误差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、超调量、调节时间及控制分配残差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本课题围绕上述四个核心模块展开研究，总体技术路线如图2所示。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rPr>
        <w:t>图2 课题总体研究技术路线图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 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 开源软件框架提供了完善的 SITL 软件在环仿真环境、标准化的 uORB 模块间通信机制以及 ULog 数据记录工具。前期已完成 PX4 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表1</w:t>
      </w:r>
      <w:r>
        <w:rPr>
          <w:rFonts w:ascii="Times New Roman" w:hAnsi="Times New Roman" w:cs="Times New Roman" w:eastAsia="宋体"/>
          <w:b w:val="0"/>
          <w:i w:val="0"/>
          <w:color w:val="000000"/>
          <w:sz w:val="24"/>
        </w:rPr>
        <w:t>所示：</w:t>
      </w:r>
    </w:p>
    <w:p>
      <w:pPr>
        <w:jc w:val="center"/>
        <w:spacing w:line="240" w:lineRule="auto" w:beforeLines="50" w:before="120"/>
        <w:ind w:firstLine="0" w:firstLineChars="0" w:left="0"/>
      </w:pPr>
      <w:r>
        <w:rPr>
          <w:rFonts w:ascii="Times New Roman" w:hAnsi="Times New Roman" w:cs="Times New Roman" w:eastAsia="宋体"/>
          <w:b w:val="0"/>
          <w:i w:val="0"/>
          <w:color w:val="000000"/>
          <w:sz w:val="21"/>
        </w:rPr>
        <w:t>表1</w:t>
      </w:r>
      <w:r>
        <w:rPr>
          <w:rFonts w:ascii="Times New Roman" w:hAnsi="Times New Roman" w:cs="Times New Roman" w:eastAsia="宋体"/>
          <w:b w:val="0"/>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 w14:paraId="2CA8248D" w14:textId="77777777" w:rsidR="00117889" w:rsidRPr="0008585D" w:rsidRDefault="00117889" w:rsidP="0008585D">
      <w:pPr>
        <w:spacing w:line="360" w:lineRule="auto" w:beforeLines="50" w:before="120" w:afterLines="50" w:after="120"/>
        <w:ind w:firstLine="0" w:firstLineChars="0" w:left="0"/>
        <w:jc w:val="left"/>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