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22EA12">
      <w:pPr>
        <w:rPr>
          <w:rFonts w:hint="eastAsia"/>
        </w:rPr>
      </w:pPr>
    </w:p>
    <w:p w14:paraId="3D7A689D">
      <w:pPr>
        <w:rPr>
          <w:rFonts w:hint="eastAsia"/>
        </w:rPr>
      </w:pPr>
    </w:p>
    <w:p w14:paraId="1C0C3218"/>
    <w:p w14:paraId="1AEA7B24">
      <w:pPr>
        <w:rPr>
          <w:rFonts w:hint="eastAsia"/>
        </w:rPr>
      </w:pPr>
      <w:r>
        <w:pict>
          <v:shape id="_x0000_s2051" o:spid="_x0000_s2051" o:spt="75" type="#_x0000_t75" style="position:absolute;left:0pt;margin-left:105pt;margin-top:21pt;height:49.2pt;width:200pt;mso-wrap-distance-bottom:0pt;mso-wrap-distance-top:0pt;z-index:251659264;mso-width-relative:page;mso-height-relative:page;" filled="f" o:preferrelative="t" stroked="f" coordsize="21600,21600">
            <v:path/>
            <v:fill on="f" focussize="0,0"/>
            <v:stroke on="f" joinstyle="miter"/>
            <v:imagedata r:id="rId5" o:title="同济大学字"/>
            <o:lock v:ext="edit" aspectratio="t"/>
            <w10:wrap type="topAndBottom"/>
          </v:shape>
        </w:pict>
      </w:r>
    </w:p>
    <w:p w14:paraId="3082E54D">
      <w:pPr>
        <w:rPr>
          <w:rFonts w:hint="eastAsia"/>
        </w:rPr>
      </w:pPr>
    </w:p>
    <w:p w14:paraId="28A390EB">
      <w:pPr>
        <w:rPr>
          <w:rFonts w:hint="eastAsia" w:ascii="黑体" w:eastAsia="黑体"/>
          <w:sz w:val="72"/>
        </w:rPr>
      </w:pPr>
      <w:r>
        <w:rPr>
          <w:rFonts w:ascii="黑体" w:eastAsia="黑体"/>
          <w:sz w:val="48"/>
        </w:rPr>
        <w:t xml:space="preserve"> </w:t>
      </w:r>
      <w:r>
        <w:rPr>
          <w:rFonts w:hint="eastAsia" w:ascii="黑体" w:eastAsia="黑体"/>
          <w:sz w:val="72"/>
        </w:rPr>
        <w:t xml:space="preserve"> 毕业设计</w:t>
      </w:r>
      <w:r>
        <w:rPr>
          <w:rFonts w:hint="eastAsia" w:ascii="宋体" w:hAnsi="宋体"/>
          <w:sz w:val="72"/>
        </w:rPr>
        <w:t>(</w:t>
      </w:r>
      <w:r>
        <w:rPr>
          <w:rFonts w:hint="eastAsia" w:ascii="黑体" w:eastAsia="黑体"/>
          <w:sz w:val="72"/>
        </w:rPr>
        <w:t>论文</w:t>
      </w:r>
      <w:r>
        <w:rPr>
          <w:rFonts w:hint="eastAsia" w:ascii="宋体" w:hAnsi="宋体"/>
          <w:sz w:val="72"/>
        </w:rPr>
        <w:t>)</w:t>
      </w:r>
      <w:r>
        <w:rPr>
          <w:rFonts w:hint="eastAsia" w:ascii="黑体" w:eastAsia="黑体"/>
          <w:sz w:val="72"/>
        </w:rPr>
        <w:t>任务书</w:t>
      </w:r>
    </w:p>
    <w:p w14:paraId="25FB47F6">
      <w:pPr>
        <w:rPr>
          <w:rFonts w:hint="eastAsia" w:ascii="黑体" w:eastAsia="黑体"/>
          <w:szCs w:val="21"/>
        </w:rPr>
      </w:pPr>
    </w:p>
    <w:p w14:paraId="340471DF">
      <w:pPr>
        <w:rPr>
          <w:rFonts w:ascii="黑体" w:eastAsia="黑体"/>
          <w:sz w:val="32"/>
          <w:szCs w:val="32"/>
        </w:rPr>
      </w:pPr>
    </w:p>
    <w:p w14:paraId="2991591F">
      <w:pPr>
        <w:rPr>
          <w:rFonts w:hint="eastAsia"/>
          <w:sz w:val="48"/>
          <w:szCs w:val="48"/>
        </w:rPr>
      </w:pPr>
    </w:p>
    <w:tbl>
      <w:tblPr>
        <w:tblStyle w:val="5"/>
        <w:tblW w:w="5271" w:type="pct"/>
        <w:jc w:val="center"/>
        <w:tblLayout w:type="autofit"/>
        <w:tblCellMar>
          <w:top w:w="0" w:type="dxa"/>
          <w:left w:w="108" w:type="dxa"/>
          <w:bottom w:w="0" w:type="dxa"/>
          <w:right w:w="108" w:type="dxa"/>
        </w:tblCellMar>
      </w:tblPr>
      <w:tblGrid>
        <w:gridCol w:w="682"/>
        <w:gridCol w:w="1902"/>
        <w:gridCol w:w="1591"/>
        <w:gridCol w:w="1203"/>
        <w:gridCol w:w="2174"/>
        <w:gridCol w:w="1439"/>
      </w:tblGrid>
      <w:tr w14:paraId="1C8E8887">
        <w:tblPrEx>
          <w:tblCellMar>
            <w:top w:w="0" w:type="dxa"/>
            <w:left w:w="108" w:type="dxa"/>
            <w:bottom w:w="0" w:type="dxa"/>
            <w:right w:w="108" w:type="dxa"/>
          </w:tblCellMar>
        </w:tblPrEx>
        <w:trPr>
          <w:gridBefore w:val="1"/>
          <w:gridAfter w:val="1"/>
          <w:wBefore w:w="379" w:type="pct"/>
          <w:wAfter w:w="800" w:type="pct"/>
          <w:trHeight w:val="851" w:hRule="atLeast"/>
          <w:jc w:val="center"/>
        </w:trPr>
        <w:tc>
          <w:tcPr>
            <w:tcW w:w="1058" w:type="pct"/>
            <w:vAlign w:val="bottom"/>
          </w:tcPr>
          <w:p w14:paraId="4814BD53">
            <w:pPr>
              <w:snapToGrid w:val="0"/>
              <w:rPr>
                <w:rFonts w:hint="eastAsia" w:ascii="宋体" w:hAnsi="宋体"/>
                <w:sz w:val="28"/>
                <w:szCs w:val="28"/>
              </w:rPr>
            </w:pPr>
            <w:permStart w:id="0" w:edGrp="everyone" w:colFirst="1" w:colLast="1"/>
            <w:r>
              <w:rPr>
                <w:rFonts w:hint="eastAsia" w:ascii="宋体" w:hAnsi="宋体"/>
                <w:sz w:val="28"/>
                <w:szCs w:val="28"/>
              </w:rPr>
              <w:t>课题名称</w:t>
            </w:r>
          </w:p>
        </w:tc>
        <w:tc>
          <w:tcPr>
            <w:tcW w:w="2763" w:type="pct"/>
            <w:gridSpan w:val="3"/>
            <w:tcBorders>
              <w:bottom w:val="single" w:color="auto" w:sz="4" w:space="0"/>
            </w:tcBorders>
            <w:vAlign w:val="bottom"/>
          </w:tcPr>
          <w:p w14:paraId="5EAFE26E">
            <w:pPr>
              <w:spacing w:before="0" w:after="0" w:line="240" w:lineRule="auto"/>
              <w:jc w:val="center"/>
              <w:rPr>
                <w:rFonts w:hint="eastAsia" w:ascii="宋体" w:hAnsi="宋体"/>
                <w:sz w:val="28"/>
                <w:szCs w:val="28"/>
              </w:rPr>
            </w:pPr>
            <w:r>
              <w:rPr>
                <w:rFonts w:ascii="Times New Roman" w:hAnsi="Times New Roman" w:eastAsia="宋体" w:cs="Times New Roman"/>
                <w:b w:val="0"/>
                <w:sz w:val="28"/>
              </w:rPr>
              <w:t>基于PX4的水下航行器模型控制方法研究</w:t>
            </w:r>
          </w:p>
        </w:tc>
      </w:tr>
      <w:permEnd w:id="0"/>
      <w:tr w14:paraId="2EA3F585">
        <w:tblPrEx>
          <w:tblCellMar>
            <w:top w:w="0" w:type="dxa"/>
            <w:left w:w="108" w:type="dxa"/>
            <w:bottom w:w="0" w:type="dxa"/>
            <w:right w:w="108" w:type="dxa"/>
          </w:tblCellMar>
        </w:tblPrEx>
        <w:trPr>
          <w:gridBefore w:val="1"/>
          <w:gridAfter w:val="1"/>
          <w:wBefore w:w="379" w:type="pct"/>
          <w:wAfter w:w="800" w:type="pct"/>
          <w:trHeight w:val="851" w:hRule="atLeast"/>
          <w:jc w:val="center"/>
        </w:trPr>
        <w:tc>
          <w:tcPr>
            <w:tcW w:w="1058" w:type="pct"/>
            <w:vAlign w:val="bottom"/>
          </w:tcPr>
          <w:p w14:paraId="23187278">
            <w:pPr>
              <w:ind w:right="529" w:rightChars="252"/>
              <w:jc w:val="distribute"/>
              <w:rPr>
                <w:rFonts w:ascii="宋体" w:hAnsi="宋体"/>
                <w:sz w:val="28"/>
                <w:szCs w:val="28"/>
              </w:rPr>
            </w:pPr>
            <w:permStart w:id="1" w:edGrp="everyone" w:colFirst="1" w:colLast="1"/>
            <w:r>
              <w:rPr>
                <w:rFonts w:hint="eastAsia" w:ascii="宋体" w:hAnsi="宋体"/>
                <w:spacing w:val="-18"/>
                <w:sz w:val="28"/>
                <w:szCs w:val="28"/>
              </w:rPr>
              <w:t>副标题</w:t>
            </w:r>
          </w:p>
        </w:tc>
        <w:tc>
          <w:tcPr>
            <w:tcW w:w="2763" w:type="pct"/>
            <w:gridSpan w:val="3"/>
            <w:tcBorders>
              <w:top w:val="single" w:color="auto" w:sz="4" w:space="0"/>
              <w:bottom w:val="single" w:color="auto" w:sz="4" w:space="0"/>
            </w:tcBorders>
            <w:vAlign w:val="bottom"/>
          </w:tcPr>
          <w:p w14:paraId="7BEC2DBF">
            <w:pPr>
              <w:jc w:val="center"/>
              <w:rPr>
                <w:rFonts w:hint="eastAsia" w:ascii="宋体" w:hAnsi="宋体"/>
                <w:sz w:val="28"/>
                <w:szCs w:val="28"/>
              </w:rPr>
            </w:pPr>
          </w:p>
        </w:tc>
      </w:tr>
      <w:permEnd w:id="1"/>
      <w:tr w14:paraId="27600A05">
        <w:tblPrEx>
          <w:tblCellMar>
            <w:top w:w="0" w:type="dxa"/>
            <w:left w:w="108" w:type="dxa"/>
            <w:bottom w:w="0" w:type="dxa"/>
            <w:right w:w="108" w:type="dxa"/>
          </w:tblCellMar>
        </w:tblPrEx>
        <w:trPr>
          <w:gridBefore w:val="1"/>
          <w:gridAfter w:val="1"/>
          <w:wBefore w:w="379" w:type="pct"/>
          <w:wAfter w:w="800" w:type="pct"/>
          <w:trHeight w:val="851" w:hRule="atLeast"/>
          <w:jc w:val="center"/>
        </w:trPr>
        <w:tc>
          <w:tcPr>
            <w:tcW w:w="1058" w:type="pct"/>
            <w:vAlign w:val="bottom"/>
          </w:tcPr>
          <w:p w14:paraId="630EAFFA">
            <w:pPr>
              <w:rPr>
                <w:rFonts w:hint="eastAsia" w:ascii="宋体" w:hAnsi="宋体"/>
                <w:sz w:val="28"/>
                <w:szCs w:val="28"/>
              </w:rPr>
            </w:pPr>
            <w:permStart w:id="2" w:edGrp="everyone" w:colFirst="1" w:colLast="1"/>
            <w:r>
              <w:rPr>
                <w:rFonts w:hint="eastAsia" w:ascii="宋体" w:hAnsi="宋体"/>
                <w:sz w:val="28"/>
                <w:szCs w:val="28"/>
              </w:rPr>
              <w:t>学    院</w:t>
            </w:r>
          </w:p>
        </w:tc>
        <w:tc>
          <w:tcPr>
            <w:tcW w:w="2763" w:type="pct"/>
            <w:gridSpan w:val="3"/>
            <w:tcBorders>
              <w:top w:val="single" w:color="auto" w:sz="4" w:space="0"/>
              <w:bottom w:val="single" w:color="auto" w:sz="4" w:space="0"/>
            </w:tcBorders>
            <w:vAlign w:val="bottom"/>
          </w:tcPr>
          <w:p w14:paraId="458200A8">
            <w:pPr>
              <w:spacing w:before="0" w:after="0" w:line="240" w:lineRule="auto"/>
              <w:jc w:val="center"/>
              <w:rPr>
                <w:rFonts w:hint="eastAsia" w:ascii="宋体" w:hAnsi="宋体"/>
                <w:sz w:val="28"/>
                <w:szCs w:val="28"/>
              </w:rPr>
            </w:pPr>
            <w:r>
              <w:rPr>
                <w:rFonts w:ascii="Times New Roman" w:hAnsi="Times New Roman" w:eastAsia="宋体" w:cs="Times New Roman"/>
                <w:b w:val="0"/>
                <w:sz w:val="28"/>
              </w:rPr>
              <w:t>机械工程与机器人学院</w:t>
            </w:r>
          </w:p>
        </w:tc>
      </w:tr>
      <w:permEnd w:id="2"/>
      <w:tr w14:paraId="48BDBE79">
        <w:tblPrEx>
          <w:tblCellMar>
            <w:top w:w="0" w:type="dxa"/>
            <w:left w:w="108" w:type="dxa"/>
            <w:bottom w:w="0" w:type="dxa"/>
            <w:right w:w="108" w:type="dxa"/>
          </w:tblCellMar>
        </w:tblPrEx>
        <w:trPr>
          <w:gridBefore w:val="1"/>
          <w:gridAfter w:val="1"/>
          <w:wBefore w:w="379" w:type="pct"/>
          <w:wAfter w:w="800" w:type="pct"/>
          <w:trHeight w:val="851" w:hRule="atLeast"/>
          <w:jc w:val="center"/>
        </w:trPr>
        <w:tc>
          <w:tcPr>
            <w:tcW w:w="1058" w:type="pct"/>
            <w:vAlign w:val="bottom"/>
          </w:tcPr>
          <w:p w14:paraId="2A6D2541">
            <w:pPr>
              <w:rPr>
                <w:rFonts w:hint="eastAsia" w:ascii="宋体" w:hAnsi="宋体"/>
                <w:sz w:val="28"/>
                <w:szCs w:val="28"/>
              </w:rPr>
            </w:pPr>
            <w:permStart w:id="3" w:edGrp="everyone" w:colFirst="1" w:colLast="1"/>
            <w:r>
              <w:rPr>
                <w:rFonts w:hint="eastAsia" w:ascii="宋体" w:hAnsi="宋体"/>
                <w:sz w:val="28"/>
                <w:szCs w:val="28"/>
              </w:rPr>
              <w:t>专    业</w:t>
            </w:r>
          </w:p>
        </w:tc>
        <w:tc>
          <w:tcPr>
            <w:tcW w:w="2763" w:type="pct"/>
            <w:gridSpan w:val="3"/>
            <w:tcBorders>
              <w:top w:val="single" w:color="auto" w:sz="4" w:space="0"/>
              <w:bottom w:val="single" w:color="auto" w:sz="4" w:space="0"/>
            </w:tcBorders>
            <w:vAlign w:val="bottom"/>
          </w:tcPr>
          <w:p w14:paraId="383AF45F">
            <w:pPr>
              <w:spacing w:before="0" w:after="0" w:line="240" w:lineRule="auto"/>
              <w:jc w:val="center"/>
              <w:rPr>
                <w:rFonts w:hint="eastAsia" w:ascii="宋体" w:hAnsi="宋体"/>
                <w:sz w:val="28"/>
                <w:szCs w:val="28"/>
              </w:rPr>
            </w:pPr>
            <w:r>
              <w:rPr>
                <w:rFonts w:ascii="Times New Roman" w:hAnsi="Times New Roman" w:eastAsia="宋体" w:cs="Times New Roman"/>
                <w:b w:val="0"/>
                <w:sz w:val="28"/>
              </w:rPr>
              <w:t>机械设计制造及其自动化</w:t>
            </w:r>
          </w:p>
        </w:tc>
      </w:tr>
      <w:permEnd w:id="3"/>
      <w:tr w14:paraId="1AFFFDAE">
        <w:tblPrEx>
          <w:tblCellMar>
            <w:top w:w="0" w:type="dxa"/>
            <w:left w:w="108" w:type="dxa"/>
            <w:bottom w:w="0" w:type="dxa"/>
            <w:right w:w="108" w:type="dxa"/>
          </w:tblCellMar>
        </w:tblPrEx>
        <w:trPr>
          <w:gridBefore w:val="1"/>
          <w:gridAfter w:val="1"/>
          <w:wBefore w:w="379" w:type="pct"/>
          <w:wAfter w:w="800" w:type="pct"/>
          <w:trHeight w:val="851" w:hRule="atLeast"/>
          <w:jc w:val="center"/>
        </w:trPr>
        <w:tc>
          <w:tcPr>
            <w:tcW w:w="1058" w:type="pct"/>
            <w:vAlign w:val="bottom"/>
          </w:tcPr>
          <w:p w14:paraId="3240F941">
            <w:pPr>
              <w:rPr>
                <w:rFonts w:hint="eastAsia" w:ascii="宋体" w:hAnsi="宋体"/>
                <w:sz w:val="28"/>
                <w:szCs w:val="28"/>
              </w:rPr>
            </w:pPr>
            <w:permStart w:id="4" w:edGrp="everyone" w:colFirst="1" w:colLast="1"/>
            <w:permStart w:id="5" w:edGrp="everyone" w:colFirst="3" w:colLast="3"/>
            <w:r>
              <w:rPr>
                <w:rFonts w:hint="eastAsia" w:ascii="宋体" w:hAnsi="宋体"/>
                <w:sz w:val="28"/>
                <w:szCs w:val="28"/>
              </w:rPr>
              <w:t>学生姓名</w:t>
            </w:r>
          </w:p>
        </w:tc>
        <w:tc>
          <w:tcPr>
            <w:tcW w:w="885" w:type="pct"/>
            <w:tcBorders>
              <w:top w:val="single" w:color="auto" w:sz="4" w:space="0"/>
              <w:bottom w:val="single" w:color="auto" w:sz="4" w:space="0"/>
            </w:tcBorders>
            <w:vAlign w:val="bottom"/>
          </w:tcPr>
          <w:p w14:paraId="01A70F87">
            <w:pPr>
              <w:spacing w:before="0" w:after="0" w:line="240" w:lineRule="auto"/>
              <w:jc w:val="center"/>
              <w:rPr>
                <w:rFonts w:hint="eastAsia" w:ascii="宋体" w:hAnsi="宋体"/>
                <w:sz w:val="28"/>
                <w:szCs w:val="28"/>
              </w:rPr>
            </w:pPr>
            <w:r>
              <w:rPr>
                <w:rFonts w:ascii="Times New Roman" w:hAnsi="Times New Roman" w:eastAsia="宋体" w:cs="Times New Roman"/>
                <w:b w:val="0"/>
                <w:sz w:val="28"/>
              </w:rPr>
              <w:t>张卫恒</w:t>
            </w:r>
          </w:p>
        </w:tc>
        <w:tc>
          <w:tcPr>
            <w:tcW w:w="669" w:type="pct"/>
            <w:tcBorders>
              <w:top w:val="single" w:color="auto" w:sz="4" w:space="0"/>
            </w:tcBorders>
            <w:vAlign w:val="bottom"/>
          </w:tcPr>
          <w:p w14:paraId="010B6A84">
            <w:pPr>
              <w:jc w:val="center"/>
              <w:rPr>
                <w:rFonts w:hint="eastAsia" w:ascii="宋体" w:hAnsi="宋体"/>
                <w:sz w:val="28"/>
                <w:szCs w:val="28"/>
              </w:rPr>
            </w:pPr>
            <w:r>
              <w:rPr>
                <w:rFonts w:hint="eastAsia" w:ascii="宋体" w:hAnsi="宋体"/>
                <w:sz w:val="28"/>
                <w:szCs w:val="28"/>
              </w:rPr>
              <w:t>学 号</w:t>
            </w:r>
          </w:p>
        </w:tc>
        <w:tc>
          <w:tcPr>
            <w:tcW w:w="1209" w:type="pct"/>
            <w:tcBorders>
              <w:top w:val="single" w:color="auto" w:sz="4" w:space="0"/>
              <w:bottom w:val="single" w:color="auto" w:sz="4" w:space="0"/>
            </w:tcBorders>
            <w:vAlign w:val="bottom"/>
          </w:tcPr>
          <w:p w14:paraId="2E01ED79">
            <w:pPr>
              <w:spacing w:before="0" w:after="0" w:line="240" w:lineRule="auto"/>
              <w:jc w:val="center"/>
              <w:rPr>
                <w:rFonts w:hint="eastAsia" w:ascii="宋体" w:hAnsi="宋体"/>
                <w:sz w:val="28"/>
                <w:szCs w:val="28"/>
              </w:rPr>
            </w:pPr>
            <w:r>
              <w:rPr>
                <w:rFonts w:ascii="Times New Roman" w:hAnsi="Times New Roman" w:eastAsia="宋体" w:cs="Times New Roman"/>
                <w:b w:val="0"/>
                <w:sz w:val="28"/>
              </w:rPr>
              <w:t>2352407</w:t>
            </w:r>
          </w:p>
        </w:tc>
      </w:tr>
      <w:permEnd w:id="4"/>
      <w:permEnd w:id="5"/>
      <w:tr w14:paraId="711BE9FF">
        <w:tblPrEx>
          <w:tblCellMar>
            <w:top w:w="0" w:type="dxa"/>
            <w:left w:w="108" w:type="dxa"/>
            <w:bottom w:w="0" w:type="dxa"/>
            <w:right w:w="108" w:type="dxa"/>
          </w:tblCellMar>
        </w:tblPrEx>
        <w:trPr>
          <w:gridBefore w:val="1"/>
          <w:gridAfter w:val="1"/>
          <w:wBefore w:w="379" w:type="pct"/>
          <w:wAfter w:w="800" w:type="pct"/>
          <w:trHeight w:val="851" w:hRule="atLeast"/>
          <w:jc w:val="center"/>
        </w:trPr>
        <w:tc>
          <w:tcPr>
            <w:tcW w:w="1058" w:type="pct"/>
            <w:vAlign w:val="bottom"/>
          </w:tcPr>
          <w:p w14:paraId="69B3C8AC">
            <w:pPr>
              <w:rPr>
                <w:rFonts w:hint="eastAsia" w:ascii="宋体" w:hAnsi="宋体"/>
                <w:sz w:val="28"/>
                <w:szCs w:val="28"/>
              </w:rPr>
            </w:pPr>
          </w:p>
        </w:tc>
        <w:tc>
          <w:tcPr>
            <w:tcW w:w="885" w:type="pct"/>
            <w:tcBorders>
              <w:top w:val="single" w:color="auto" w:sz="4" w:space="0"/>
            </w:tcBorders>
            <w:vAlign w:val="bottom"/>
          </w:tcPr>
          <w:p w14:paraId="3126697B">
            <w:pPr>
              <w:jc w:val="center"/>
              <w:rPr>
                <w:rFonts w:hint="eastAsia" w:ascii="宋体" w:hAnsi="宋体"/>
                <w:sz w:val="28"/>
                <w:szCs w:val="28"/>
              </w:rPr>
            </w:pPr>
          </w:p>
        </w:tc>
        <w:tc>
          <w:tcPr>
            <w:tcW w:w="669" w:type="pct"/>
            <w:vAlign w:val="bottom"/>
          </w:tcPr>
          <w:p w14:paraId="29A96090">
            <w:pPr>
              <w:jc w:val="center"/>
              <w:rPr>
                <w:rFonts w:hint="eastAsia" w:ascii="宋体" w:hAnsi="宋体"/>
                <w:sz w:val="28"/>
                <w:szCs w:val="28"/>
              </w:rPr>
            </w:pPr>
          </w:p>
        </w:tc>
        <w:tc>
          <w:tcPr>
            <w:tcW w:w="1209" w:type="pct"/>
            <w:vAlign w:val="bottom"/>
          </w:tcPr>
          <w:p w14:paraId="61EA35B9">
            <w:pPr>
              <w:jc w:val="center"/>
              <w:rPr>
                <w:rFonts w:hint="eastAsia" w:ascii="宋体" w:hAnsi="宋体"/>
                <w:sz w:val="28"/>
                <w:szCs w:val="28"/>
              </w:rPr>
            </w:pPr>
          </w:p>
        </w:tc>
      </w:tr>
      <w:tr w14:paraId="57C61855">
        <w:tblPrEx>
          <w:tblCellMar>
            <w:top w:w="0" w:type="dxa"/>
            <w:left w:w="108" w:type="dxa"/>
            <w:bottom w:w="0" w:type="dxa"/>
            <w:right w:w="108" w:type="dxa"/>
          </w:tblCellMar>
        </w:tblPrEx>
        <w:trPr>
          <w:trHeight w:val="851" w:hRule="atLeast"/>
          <w:jc w:val="center"/>
        </w:trPr>
        <w:tc>
          <w:tcPr>
            <w:tcW w:w="5000" w:type="pct"/>
            <w:gridSpan w:val="6"/>
            <w:vAlign w:val="bottom"/>
          </w:tcPr>
          <w:p w14:paraId="56ECDC23">
            <w:pPr>
              <w:ind w:firstLine="560" w:firstLineChars="200"/>
              <w:rPr>
                <w:rFonts w:hint="eastAsia" w:ascii="宋体" w:hAnsi="宋体"/>
                <w:sz w:val="28"/>
                <w:szCs w:val="28"/>
              </w:rPr>
            </w:pPr>
            <w:r>
              <w:rPr>
                <w:rFonts w:hint="eastAsia" w:ascii="宋体" w:hAnsi="宋体"/>
                <w:sz w:val="28"/>
                <w:szCs w:val="28"/>
              </w:rPr>
              <w:t>毕业设计(论文)起讫时间：</w:t>
            </w:r>
          </w:p>
        </w:tc>
      </w:tr>
    </w:tbl>
    <w:p w14:paraId="65A06B1D">
      <w:pPr>
        <w:rPr>
          <w:rFonts w:hint="eastAsia" w:ascii="黑体" w:eastAsia="黑体"/>
          <w:sz w:val="30"/>
        </w:rPr>
      </w:pPr>
    </w:p>
    <w:p w14:paraId="563A2980">
      <w:pPr>
        <w:ind w:firstLine="280" w:firstLineChars="100"/>
        <w:jc w:val="distribute"/>
        <w:rPr>
          <w:rFonts w:hint="eastAsia" w:ascii="宋体" w:hAnsi="宋体"/>
          <w:sz w:val="28"/>
          <w:szCs w:val="28"/>
        </w:rPr>
      </w:pPr>
      <w:r>
        <w:rPr>
          <w:rFonts w:hint="eastAsia" w:ascii="宋体" w:hAnsi="宋体"/>
          <w:sz w:val="28"/>
          <w:szCs w:val="28"/>
        </w:rPr>
        <w:t xml:space="preserve">自 </w:t>
      </w:r>
      <w:r>
        <w:rPr>
          <w:rFonts w:hint="eastAsia" w:ascii="宋体" w:hAnsi="宋体"/>
          <w:sz w:val="28"/>
          <w:szCs w:val="28"/>
          <w:u w:val="single"/>
        </w:rPr>
        <w:t>2026</w:t>
      </w:r>
      <w:r>
        <w:rPr>
          <w:rFonts w:hint="eastAsia" w:ascii="宋体" w:hAnsi="宋体"/>
          <w:sz w:val="28"/>
          <w:szCs w:val="28"/>
        </w:rPr>
        <w:t>年</w:t>
      </w:r>
      <w:r>
        <w:rPr>
          <w:rFonts w:hint="eastAsia" w:ascii="宋体" w:hAnsi="宋体"/>
          <w:sz w:val="28"/>
          <w:szCs w:val="28"/>
          <w:u w:val="single"/>
        </w:rPr>
        <w:t xml:space="preserve"> 9 </w:t>
      </w:r>
      <w:r>
        <w:rPr>
          <w:rFonts w:hint="eastAsia" w:ascii="宋体" w:hAnsi="宋体"/>
          <w:sz w:val="28"/>
          <w:szCs w:val="28"/>
        </w:rPr>
        <w:t>月</w:t>
      </w:r>
      <w:r>
        <w:rPr>
          <w:rFonts w:hint="eastAsia" w:ascii="宋体" w:hAnsi="宋体"/>
          <w:sz w:val="28"/>
          <w:szCs w:val="28"/>
          <w:u w:val="single"/>
        </w:rPr>
        <w:t xml:space="preserve"> 14 </w:t>
      </w:r>
      <w:r>
        <w:rPr>
          <w:rFonts w:hint="eastAsia" w:ascii="宋体" w:hAnsi="宋体"/>
          <w:sz w:val="28"/>
          <w:szCs w:val="28"/>
        </w:rPr>
        <w:t>日至</w:t>
      </w:r>
      <w:r>
        <w:rPr>
          <w:rFonts w:hint="eastAsia" w:ascii="宋体" w:hAnsi="宋体"/>
          <w:sz w:val="28"/>
          <w:szCs w:val="28"/>
          <w:u w:val="single"/>
        </w:rPr>
        <w:t xml:space="preserve"> 2027 </w:t>
      </w:r>
      <w:r>
        <w:rPr>
          <w:rFonts w:hint="eastAsia" w:ascii="宋体" w:hAnsi="宋体"/>
          <w:sz w:val="28"/>
          <w:szCs w:val="28"/>
        </w:rPr>
        <w:t>年</w:t>
      </w:r>
      <w:r>
        <w:rPr>
          <w:rFonts w:hint="eastAsia" w:ascii="宋体" w:hAnsi="宋体"/>
          <w:sz w:val="28"/>
          <w:szCs w:val="28"/>
          <w:u w:val="single"/>
        </w:rPr>
        <w:t xml:space="preserve"> 4 </w:t>
      </w:r>
      <w:r>
        <w:rPr>
          <w:rFonts w:hint="eastAsia" w:ascii="宋体" w:hAnsi="宋体"/>
          <w:sz w:val="28"/>
          <w:szCs w:val="28"/>
        </w:rPr>
        <w:t>月</w:t>
      </w:r>
      <w:r>
        <w:rPr>
          <w:rFonts w:hint="eastAsia" w:ascii="宋体" w:hAnsi="宋体"/>
          <w:sz w:val="28"/>
          <w:szCs w:val="28"/>
          <w:u w:val="single"/>
        </w:rPr>
        <w:t xml:space="preserve"> 28 </w:t>
      </w:r>
      <w:r>
        <w:rPr>
          <w:rFonts w:hint="eastAsia" w:ascii="宋体" w:hAnsi="宋体"/>
          <w:sz w:val="28"/>
          <w:szCs w:val="28"/>
        </w:rPr>
        <w:t>日共</w:t>
      </w:r>
      <w:r>
        <w:rPr>
          <w:rFonts w:hint="eastAsia" w:ascii="宋体" w:hAnsi="宋体"/>
          <w:sz w:val="28"/>
          <w:szCs w:val="28"/>
          <w:u w:val="single"/>
        </w:rPr>
        <w:t xml:space="preserve"> </w:t>
      </w:r>
      <w:r>
        <w:rPr>
          <w:rFonts w:ascii="宋体" w:hAnsi="宋体"/>
          <w:sz w:val="28"/>
          <w:szCs w:val="28"/>
          <w:u w:val="single"/>
        </w:rPr>
        <w:t>32</w:t>
      </w:r>
      <w:r>
        <w:rPr>
          <w:rFonts w:hint="eastAsia" w:ascii="宋体" w:hAnsi="宋体"/>
          <w:sz w:val="28"/>
          <w:szCs w:val="28"/>
        </w:rPr>
        <w:t>周</w:t>
      </w:r>
    </w:p>
    <w:p w14:paraId="1056F7E8">
      <w:pPr>
        <w:jc w:val="distribute"/>
        <w:rPr>
          <w:rFonts w:hint="eastAsia" w:ascii="宋体" w:hAnsi="宋体"/>
          <w:sz w:val="28"/>
          <w:szCs w:val="28"/>
        </w:rPr>
      </w:pPr>
    </w:p>
    <w:tbl>
      <w:tblPr>
        <w:tblStyle w:val="5"/>
        <w:tblW w:w="8681" w:type="dxa"/>
        <w:jc w:val="center"/>
        <w:tblLayout w:type="fixed"/>
        <w:tblCellMar>
          <w:top w:w="0" w:type="dxa"/>
          <w:left w:w="108" w:type="dxa"/>
          <w:bottom w:w="0" w:type="dxa"/>
          <w:right w:w="108" w:type="dxa"/>
        </w:tblCellMar>
      </w:tblPr>
      <w:tblGrid>
        <w:gridCol w:w="27"/>
        <w:gridCol w:w="3338"/>
        <w:gridCol w:w="94"/>
        <w:gridCol w:w="1670"/>
        <w:gridCol w:w="31"/>
        <w:gridCol w:w="677"/>
        <w:gridCol w:w="31"/>
        <w:gridCol w:w="536"/>
        <w:gridCol w:w="31"/>
        <w:gridCol w:w="536"/>
        <w:gridCol w:w="31"/>
        <w:gridCol w:w="536"/>
        <w:gridCol w:w="31"/>
        <w:gridCol w:w="536"/>
        <w:gridCol w:w="31"/>
        <w:gridCol w:w="511"/>
        <w:gridCol w:w="34"/>
      </w:tblGrid>
      <w:tr w14:paraId="0EB1FF80">
        <w:tblPrEx>
          <w:tblCellMar>
            <w:top w:w="0" w:type="dxa"/>
            <w:left w:w="108" w:type="dxa"/>
            <w:bottom w:w="0" w:type="dxa"/>
            <w:right w:w="108" w:type="dxa"/>
          </w:tblCellMar>
        </w:tblPrEx>
        <w:trPr>
          <w:gridBefore w:val="1"/>
          <w:wBefore w:w="27" w:type="dxa"/>
          <w:trHeight w:val="737" w:hRule="atLeast"/>
          <w:jc w:val="center"/>
        </w:trPr>
        <w:tc>
          <w:tcPr>
            <w:tcW w:w="3432" w:type="dxa"/>
            <w:gridSpan w:val="2"/>
            <w:vAlign w:val="bottom"/>
          </w:tcPr>
          <w:p w14:paraId="7371420A">
            <w:pPr>
              <w:ind w:left="-105" w:leftChars="-50" w:right="-105" w:rightChars="-50"/>
              <w:jc w:val="center"/>
              <w:rPr>
                <w:rFonts w:hint="eastAsia" w:ascii="宋体" w:hAnsi="宋体"/>
                <w:sz w:val="28"/>
                <w:szCs w:val="28"/>
              </w:rPr>
            </w:pPr>
            <w:permStart w:id="6" w:edGrp="everyone" w:colFirst="1" w:colLast="1"/>
            <w:permStart w:id="7" w:edGrp="everyone" w:colFirst="2" w:colLast="2"/>
            <w:permStart w:id="8" w:edGrp="everyone" w:colFirst="4" w:colLast="4"/>
            <w:permStart w:id="9" w:edGrp="everyone" w:colFirst="6" w:colLast="6"/>
            <w:r>
              <w:rPr>
                <w:rFonts w:hint="eastAsia" w:ascii="宋体" w:hAnsi="宋体"/>
                <w:sz w:val="28"/>
                <w:szCs w:val="28"/>
              </w:rPr>
              <w:t>指 导 教 师 签 名</w:t>
            </w:r>
          </w:p>
        </w:tc>
        <w:tc>
          <w:tcPr>
            <w:tcW w:w="1701" w:type="dxa"/>
            <w:gridSpan w:val="2"/>
            <w:tcBorders>
              <w:bottom w:val="single" w:color="auto" w:sz="4" w:space="0"/>
            </w:tcBorders>
            <w:vAlign w:val="bottom"/>
          </w:tcPr>
          <w:p w14:paraId="5AFF73C4">
            <w:pPr>
              <w:ind w:left="453" w:hanging="1134"/>
              <w:jc w:val="center"/>
              <w:rPr>
                <w:rFonts w:hint="eastAsia" w:ascii="宋体" w:hAnsi="宋体"/>
                <w:sz w:val="28"/>
                <w:szCs w:val="28"/>
              </w:rPr>
            </w:pPr>
          </w:p>
        </w:tc>
        <w:tc>
          <w:tcPr>
            <w:tcW w:w="708" w:type="dxa"/>
            <w:gridSpan w:val="2"/>
            <w:tcBorders>
              <w:bottom w:val="single" w:color="auto" w:sz="4" w:space="0"/>
            </w:tcBorders>
            <w:vAlign w:val="bottom"/>
          </w:tcPr>
          <w:p w14:paraId="1509030B">
            <w:pPr>
              <w:ind w:left="-109" w:leftChars="-187" w:right="-246" w:rightChars="-117" w:hanging="284"/>
              <w:jc w:val="center"/>
              <w:rPr>
                <w:rFonts w:hint="eastAsia" w:ascii="宋体" w:hAnsi="宋体"/>
                <w:sz w:val="28"/>
                <w:szCs w:val="28"/>
              </w:rPr>
            </w:pPr>
          </w:p>
        </w:tc>
        <w:tc>
          <w:tcPr>
            <w:tcW w:w="567" w:type="dxa"/>
            <w:gridSpan w:val="2"/>
            <w:vAlign w:val="bottom"/>
          </w:tcPr>
          <w:p w14:paraId="15C6727F">
            <w:pPr>
              <w:ind w:left="-105" w:leftChars="-50" w:right="-105" w:rightChars="-50"/>
              <w:jc w:val="center"/>
              <w:rPr>
                <w:rFonts w:hint="eastAsia" w:ascii="宋体" w:hAnsi="宋体"/>
                <w:sz w:val="28"/>
                <w:szCs w:val="28"/>
              </w:rPr>
            </w:pPr>
            <w:r>
              <w:rPr>
                <w:rFonts w:hint="eastAsia" w:ascii="宋体" w:hAnsi="宋体"/>
                <w:sz w:val="28"/>
                <w:szCs w:val="28"/>
              </w:rPr>
              <w:t>年</w:t>
            </w:r>
          </w:p>
        </w:tc>
        <w:tc>
          <w:tcPr>
            <w:tcW w:w="567" w:type="dxa"/>
            <w:gridSpan w:val="2"/>
            <w:tcBorders>
              <w:bottom w:val="single" w:color="auto" w:sz="4" w:space="0"/>
            </w:tcBorders>
            <w:vAlign w:val="bottom"/>
          </w:tcPr>
          <w:p w14:paraId="79234022">
            <w:pPr>
              <w:ind w:left="-105" w:leftChars="-50" w:right="-105" w:rightChars="-50"/>
              <w:jc w:val="center"/>
              <w:rPr>
                <w:rFonts w:hint="eastAsia" w:ascii="宋体" w:hAnsi="宋体"/>
                <w:sz w:val="28"/>
                <w:szCs w:val="28"/>
              </w:rPr>
            </w:pPr>
          </w:p>
        </w:tc>
        <w:tc>
          <w:tcPr>
            <w:tcW w:w="567" w:type="dxa"/>
            <w:gridSpan w:val="2"/>
            <w:vAlign w:val="bottom"/>
          </w:tcPr>
          <w:p w14:paraId="58605BED">
            <w:pPr>
              <w:ind w:left="-105" w:leftChars="-50" w:right="-105" w:rightChars="-50"/>
              <w:jc w:val="center"/>
              <w:rPr>
                <w:rFonts w:hint="eastAsia" w:ascii="宋体" w:hAnsi="宋体"/>
                <w:sz w:val="28"/>
                <w:szCs w:val="28"/>
              </w:rPr>
            </w:pPr>
            <w:r>
              <w:rPr>
                <w:rFonts w:hint="eastAsia" w:ascii="宋体" w:hAnsi="宋体"/>
                <w:sz w:val="28"/>
                <w:szCs w:val="28"/>
              </w:rPr>
              <w:t>月</w:t>
            </w:r>
          </w:p>
        </w:tc>
        <w:tc>
          <w:tcPr>
            <w:tcW w:w="567" w:type="dxa"/>
            <w:gridSpan w:val="2"/>
            <w:tcBorders>
              <w:bottom w:val="single" w:color="auto" w:sz="4" w:space="0"/>
            </w:tcBorders>
            <w:vAlign w:val="bottom"/>
          </w:tcPr>
          <w:p w14:paraId="03B36B71">
            <w:pPr>
              <w:ind w:left="-105" w:leftChars="-50" w:right="-105" w:rightChars="-50"/>
              <w:jc w:val="center"/>
              <w:rPr>
                <w:rFonts w:hint="eastAsia" w:ascii="宋体" w:hAnsi="宋体"/>
                <w:sz w:val="28"/>
                <w:szCs w:val="28"/>
              </w:rPr>
            </w:pPr>
          </w:p>
        </w:tc>
        <w:tc>
          <w:tcPr>
            <w:tcW w:w="545" w:type="dxa"/>
            <w:gridSpan w:val="2"/>
            <w:vAlign w:val="bottom"/>
          </w:tcPr>
          <w:p w14:paraId="152D8773">
            <w:pPr>
              <w:ind w:left="-105" w:leftChars="-50" w:right="-105" w:rightChars="-50"/>
              <w:jc w:val="center"/>
              <w:rPr>
                <w:rFonts w:hint="eastAsia" w:ascii="宋体" w:hAnsi="宋体"/>
                <w:sz w:val="28"/>
                <w:szCs w:val="28"/>
              </w:rPr>
            </w:pPr>
            <w:r>
              <w:rPr>
                <w:rFonts w:hint="eastAsia" w:ascii="宋体" w:hAnsi="宋体"/>
                <w:sz w:val="28"/>
                <w:szCs w:val="28"/>
              </w:rPr>
              <w:t>日</w:t>
            </w:r>
          </w:p>
        </w:tc>
      </w:tr>
      <w:permEnd w:id="6"/>
      <w:permEnd w:id="7"/>
      <w:permEnd w:id="8"/>
      <w:permEnd w:id="9"/>
      <w:tr w14:paraId="404107B1">
        <w:tblPrEx>
          <w:tblCellMar>
            <w:top w:w="0" w:type="dxa"/>
            <w:left w:w="108" w:type="dxa"/>
            <w:bottom w:w="0" w:type="dxa"/>
            <w:right w:w="108" w:type="dxa"/>
          </w:tblCellMar>
        </w:tblPrEx>
        <w:trPr>
          <w:gridAfter w:val="1"/>
          <w:wAfter w:w="34" w:type="dxa"/>
          <w:trHeight w:val="737" w:hRule="atLeast"/>
          <w:jc w:val="center"/>
        </w:trPr>
        <w:tc>
          <w:tcPr>
            <w:tcW w:w="3365" w:type="dxa"/>
            <w:gridSpan w:val="2"/>
            <w:vAlign w:val="bottom"/>
          </w:tcPr>
          <w:p w14:paraId="5DA3983B">
            <w:pPr>
              <w:ind w:left="-105" w:leftChars="-50" w:right="-105" w:rightChars="-50"/>
              <w:jc w:val="center"/>
              <w:rPr>
                <w:rFonts w:hint="eastAsia" w:ascii="宋体" w:hAnsi="宋体"/>
                <w:sz w:val="28"/>
                <w:szCs w:val="28"/>
              </w:rPr>
            </w:pPr>
            <w:permStart w:id="10" w:edGrp="everyone" w:colFirst="1" w:colLast="1"/>
            <w:permStart w:id="11" w:edGrp="everyone" w:colFirst="2" w:colLast="2"/>
            <w:permStart w:id="12" w:edGrp="everyone" w:colFirst="4" w:colLast="4"/>
            <w:permStart w:id="13" w:edGrp="everyone" w:colFirst="6" w:colLast="6"/>
            <w:r>
              <w:rPr>
                <w:rFonts w:hint="eastAsia" w:ascii="宋体" w:hAnsi="宋体"/>
                <w:sz w:val="28"/>
                <w:szCs w:val="28"/>
              </w:rPr>
              <w:t xml:space="preserve"> </w:t>
            </w:r>
            <w:r>
              <w:rPr>
                <w:rFonts w:hint="eastAsia" w:ascii="宋体" w:hAnsi="宋体"/>
                <w:spacing w:val="75"/>
                <w:kern w:val="0"/>
                <w:sz w:val="28"/>
                <w:szCs w:val="28"/>
                <w:fitText w:val="2438" w:id="1269467394"/>
              </w:rPr>
              <w:t>教学院长签</w:t>
            </w:r>
            <w:r>
              <w:rPr>
                <w:rFonts w:hint="eastAsia" w:ascii="宋体" w:hAnsi="宋体"/>
                <w:spacing w:val="4"/>
                <w:kern w:val="0"/>
                <w:sz w:val="28"/>
                <w:szCs w:val="28"/>
                <w:fitText w:val="2438" w:id="1269467394"/>
              </w:rPr>
              <w:t>名</w:t>
            </w:r>
          </w:p>
        </w:tc>
        <w:tc>
          <w:tcPr>
            <w:tcW w:w="1764" w:type="dxa"/>
            <w:gridSpan w:val="2"/>
            <w:tcBorders>
              <w:bottom w:val="single" w:color="auto" w:sz="4" w:space="0"/>
            </w:tcBorders>
            <w:vAlign w:val="bottom"/>
          </w:tcPr>
          <w:p w14:paraId="6813FB41">
            <w:pPr>
              <w:ind w:left="102" w:hanging="708"/>
              <w:jc w:val="center"/>
              <w:rPr>
                <w:rFonts w:hint="eastAsia" w:ascii="宋体" w:hAnsi="宋体"/>
                <w:sz w:val="28"/>
                <w:szCs w:val="28"/>
              </w:rPr>
            </w:pPr>
          </w:p>
        </w:tc>
        <w:tc>
          <w:tcPr>
            <w:tcW w:w="708" w:type="dxa"/>
            <w:gridSpan w:val="2"/>
            <w:tcBorders>
              <w:bottom w:val="single" w:color="auto" w:sz="4" w:space="0"/>
            </w:tcBorders>
            <w:vAlign w:val="bottom"/>
          </w:tcPr>
          <w:p w14:paraId="619AD510">
            <w:pPr>
              <w:ind w:left="-250" w:leftChars="-186" w:right="-246" w:rightChars="-117" w:hanging="141"/>
              <w:jc w:val="center"/>
              <w:rPr>
                <w:rFonts w:hint="eastAsia" w:ascii="宋体" w:hAnsi="宋体"/>
                <w:sz w:val="28"/>
                <w:szCs w:val="28"/>
              </w:rPr>
            </w:pPr>
          </w:p>
        </w:tc>
        <w:tc>
          <w:tcPr>
            <w:tcW w:w="567" w:type="dxa"/>
            <w:gridSpan w:val="2"/>
            <w:vAlign w:val="bottom"/>
          </w:tcPr>
          <w:p w14:paraId="0BECA899">
            <w:pPr>
              <w:ind w:left="-105" w:leftChars="-50" w:right="-105" w:rightChars="-50"/>
              <w:jc w:val="center"/>
              <w:rPr>
                <w:rFonts w:hint="eastAsia" w:ascii="宋体" w:hAnsi="宋体"/>
                <w:sz w:val="28"/>
                <w:szCs w:val="28"/>
              </w:rPr>
            </w:pPr>
            <w:r>
              <w:rPr>
                <w:rFonts w:hint="eastAsia" w:ascii="宋体" w:hAnsi="宋体"/>
                <w:sz w:val="28"/>
                <w:szCs w:val="28"/>
              </w:rPr>
              <w:t>年</w:t>
            </w:r>
          </w:p>
        </w:tc>
        <w:tc>
          <w:tcPr>
            <w:tcW w:w="567" w:type="dxa"/>
            <w:gridSpan w:val="2"/>
            <w:tcBorders>
              <w:bottom w:val="single" w:color="auto" w:sz="4" w:space="0"/>
            </w:tcBorders>
            <w:vAlign w:val="bottom"/>
          </w:tcPr>
          <w:p w14:paraId="110CAAA2">
            <w:pPr>
              <w:ind w:left="-105" w:leftChars="-50" w:right="-105" w:rightChars="-50"/>
              <w:jc w:val="center"/>
              <w:rPr>
                <w:rFonts w:hint="eastAsia" w:ascii="宋体" w:hAnsi="宋体"/>
                <w:sz w:val="28"/>
                <w:szCs w:val="28"/>
              </w:rPr>
            </w:pPr>
          </w:p>
        </w:tc>
        <w:tc>
          <w:tcPr>
            <w:tcW w:w="567" w:type="dxa"/>
            <w:gridSpan w:val="2"/>
            <w:vAlign w:val="bottom"/>
          </w:tcPr>
          <w:p w14:paraId="2DFAD368">
            <w:pPr>
              <w:ind w:left="-105" w:leftChars="-50" w:right="-105" w:rightChars="-50"/>
              <w:jc w:val="center"/>
              <w:rPr>
                <w:rFonts w:hint="eastAsia" w:ascii="宋体" w:hAnsi="宋体"/>
                <w:sz w:val="28"/>
                <w:szCs w:val="28"/>
              </w:rPr>
            </w:pPr>
            <w:r>
              <w:rPr>
                <w:rFonts w:hint="eastAsia" w:ascii="宋体" w:hAnsi="宋体"/>
                <w:sz w:val="28"/>
                <w:szCs w:val="28"/>
              </w:rPr>
              <w:t>月</w:t>
            </w:r>
          </w:p>
        </w:tc>
        <w:tc>
          <w:tcPr>
            <w:tcW w:w="567" w:type="dxa"/>
            <w:gridSpan w:val="2"/>
            <w:tcBorders>
              <w:bottom w:val="single" w:color="auto" w:sz="4" w:space="0"/>
            </w:tcBorders>
            <w:vAlign w:val="bottom"/>
          </w:tcPr>
          <w:p w14:paraId="0A8D0C5C">
            <w:pPr>
              <w:ind w:left="-105" w:leftChars="-50" w:right="-105" w:rightChars="-50"/>
              <w:jc w:val="center"/>
              <w:rPr>
                <w:rFonts w:hint="eastAsia" w:ascii="宋体" w:hAnsi="宋体"/>
                <w:sz w:val="28"/>
                <w:szCs w:val="28"/>
              </w:rPr>
            </w:pPr>
          </w:p>
        </w:tc>
        <w:tc>
          <w:tcPr>
            <w:tcW w:w="542" w:type="dxa"/>
            <w:gridSpan w:val="2"/>
            <w:vAlign w:val="bottom"/>
          </w:tcPr>
          <w:p w14:paraId="601FD526">
            <w:pPr>
              <w:ind w:left="-105" w:leftChars="-50" w:right="-105" w:rightChars="-50"/>
              <w:jc w:val="center"/>
              <w:rPr>
                <w:rFonts w:hint="eastAsia" w:ascii="宋体" w:hAnsi="宋体"/>
                <w:sz w:val="28"/>
                <w:szCs w:val="28"/>
              </w:rPr>
            </w:pPr>
            <w:r>
              <w:rPr>
                <w:rFonts w:hint="eastAsia" w:ascii="宋体" w:hAnsi="宋体"/>
                <w:sz w:val="28"/>
                <w:szCs w:val="28"/>
              </w:rPr>
              <w:t>日</w:t>
            </w:r>
          </w:p>
        </w:tc>
      </w:tr>
      <w:permEnd w:id="10"/>
      <w:permEnd w:id="11"/>
      <w:permEnd w:id="12"/>
      <w:permEnd w:id="13"/>
    </w:tbl>
    <w:p w14:paraId="19D0F8EE">
      <w:pPr>
        <w:rPr>
          <w:rFonts w:hint="eastAsia" w:ascii="宋体"/>
          <w:sz w:val="28"/>
        </w:rPr>
      </w:pPr>
    </w:p>
    <w:p w14:paraId="00EA7DF5">
      <w:pPr>
        <w:pStyle w:val="10"/>
        <w:ind w:firstLine="0" w:firstLineChars="0"/>
        <w:rPr>
          <w:rFonts w:hint="eastAsia" w:ascii="楷体" w:hAnsi="宋体" w:eastAsia="楷体"/>
        </w:rPr>
      </w:pPr>
      <w:r>
        <w:rPr>
          <w:rFonts w:ascii="黑体" w:eastAsia="黑体"/>
          <w:sz w:val="28"/>
        </w:rPr>
        <w:br w:type="page"/>
      </w:r>
      <w:r>
        <w:rPr>
          <w:rFonts w:hint="eastAsia" w:ascii="黑体" w:eastAsia="黑体"/>
          <w:sz w:val="28"/>
        </w:rPr>
        <w:t>一、</w:t>
      </w:r>
      <w:permStart w:id="14" w:edGrp="everyone"/>
      <w:r>
        <w:rPr>
          <w:rFonts w:hint="eastAsia" w:ascii="黑体" w:eastAsia="黑体"/>
          <w:sz w:val="28"/>
        </w:rPr>
        <w:t>毕业设计（论文）</w:t>
      </w:r>
      <w:permEnd w:id="14"/>
      <w:r>
        <w:rPr>
          <w:rFonts w:hint="eastAsia" w:ascii="黑体" w:eastAsia="黑体"/>
          <w:sz w:val="28"/>
        </w:rPr>
        <w:t>的课题背景</w:t>
      </w:r>
    </w:p>
    <w:p w14:paraId="3EEEDC06">
      <w:pPr>
        <w:spacing w:before="0" w:after="0" w:line="360" w:lineRule="auto"/>
        <w:ind w:firstLine="480" w:firstLineChars="200"/>
        <w:jc w:val="left"/>
      </w:pPr>
      <w:r/>
      <w:r>
        <w:rPr>
          <w:rFonts w:ascii="Times New Roman" w:hAnsi="Times New Roman" w:eastAsia="宋体" w:cs="Times New Roman"/>
          <w:b w:val="0"/>
          <w:sz w:val="24"/>
        </w:rPr>
        <w:t>随着海洋资源开发与水下基础设施巡检需求增长，海上风电桩基、水下大坝立面及海底管线等场景对无人水下航行器（UUV）的精细运动控制提出更高要求。此类作业要求航行器在受限空间内实现轨迹跟踪、定点悬停和姿态调节。部分欠驱动平台难以独立调节各方向运动与姿态。采用空间矢量布局的八推进器紧凑型航行器</w:t>
      </w:r>
      <w:r>
        <w:rPr>
          <w:rFonts w:ascii="Times New Roman" w:hAnsi="Times New Roman" w:eastAsia="宋体" w:cs="Times New Roman"/>
          <w:b w:val="0"/>
          <w:strike/>
          <w:sz w:val="24"/>
        </w:rPr>
        <w:t>具有实现六自由度主动控制的</w:t>
      </w:r>
      <w:r>
        <w:rPr>
          <w:rFonts w:ascii="Times New Roman" w:hAnsi="Times New Roman" w:eastAsia="宋体" w:cs="Times New Roman"/>
          <w:b w:val="0"/>
          <w:sz w:val="24"/>
          <w:highlight w:val="yellow"/>
        </w:rPr>
        <w:t>具备实现六自由度全向主动控制的</w:t>
      </w:r>
      <w:r>
        <w:rPr>
          <w:rFonts w:ascii="Times New Roman" w:hAnsi="Times New Roman" w:eastAsia="宋体" w:cs="Times New Roman"/>
          <w:b w:val="0"/>
          <w:sz w:val="24"/>
        </w:rPr>
        <w:t>能力</w:t>
      </w:r>
      <w:r>
        <w:rPr>
          <w:rFonts w:ascii="Times New Roman" w:hAnsi="Times New Roman" w:eastAsia="宋体" w:cs="Times New Roman"/>
          <w:b w:val="0"/>
          <w:strike/>
          <w:sz w:val="24"/>
        </w:rPr>
        <w:t>潜力，</w:t>
      </w:r>
      <w:r>
        <w:rPr>
          <w:rFonts w:ascii="Times New Roman" w:hAnsi="Times New Roman" w:eastAsia="宋体" w:cs="Times New Roman"/>
          <w:b w:val="0"/>
          <w:strike/>
          <w:color w:val="0000FF"/>
          <w:sz w:val="24"/>
        </w:rPr>
        <w:t>但需核验推力配置矩阵的秩及执行器约束。</w:t>
      </w:r>
      <w:r>
        <w:rPr>
          <w:rFonts w:ascii="Times New Roman" w:hAnsi="Times New Roman" w:eastAsia="宋体" w:cs="Times New Roman"/>
          <w:b w:val="0"/>
          <w:sz w:val="24"/>
          <w:highlight w:val="yellow"/>
        </w:rPr>
        <w:t>。</w:t>
      </w:r>
    </w:p>
    <w:p w14:paraId="0482F807">
      <w:pPr>
        <w:spacing w:before="0" w:after="0" w:line="360" w:lineRule="auto"/>
        <w:ind w:firstLine="480" w:firstLineChars="200"/>
        <w:jc w:val="left"/>
      </w:pPr>
      <w:r/>
      <w:r>
        <w:rPr>
          <w:rFonts w:ascii="Times New Roman" w:hAnsi="Times New Roman" w:eastAsia="宋体" w:cs="Times New Roman"/>
          <w:b w:val="0"/>
          <w:sz w:val="24"/>
        </w:rPr>
        <w:t>然而，水下航行器动力学存在附加质量、非线性阻尼以及重浮力恢复力矩等耦合影响，紧凑型八推进器平台</w:t>
      </w:r>
      <w:r>
        <w:rPr>
          <w:rFonts w:ascii="Times New Roman" w:hAnsi="Times New Roman" w:eastAsia="宋体" w:cs="Times New Roman"/>
          <w:b w:val="0"/>
          <w:strike/>
          <w:sz w:val="24"/>
        </w:rPr>
        <w:t>还受到推力幅值、</w:t>
      </w:r>
      <w:r>
        <w:rPr>
          <w:rFonts w:ascii="Times New Roman" w:hAnsi="Times New Roman" w:eastAsia="宋体" w:cs="Times New Roman"/>
          <w:b w:val="0"/>
          <w:strike/>
          <w:color w:val="0000FF"/>
          <w:sz w:val="24"/>
        </w:rPr>
        <w:t>变化率和分配能力限制</w:t>
      </w:r>
      <w:r>
        <w:rPr>
          <w:rFonts w:ascii="Times New Roman" w:hAnsi="Times New Roman" w:eastAsia="宋体" w:cs="Times New Roman"/>
          <w:b w:val="0"/>
          <w:strike/>
          <w:sz w:val="24"/>
        </w:rPr>
        <w:t>，</w:t>
      </w:r>
      <w:r>
        <w:rPr>
          <w:rFonts w:ascii="Times New Roman" w:hAnsi="Times New Roman" w:eastAsia="宋体" w:cs="Times New Roman"/>
          <w:b w:val="0"/>
          <w:strike/>
          <w:color w:val="0000FF"/>
          <w:sz w:val="24"/>
        </w:rPr>
        <w:t>多轴机动</w:t>
      </w:r>
      <w:r>
        <w:rPr>
          <w:rFonts w:ascii="Times New Roman" w:hAnsi="Times New Roman" w:eastAsia="宋体" w:cs="Times New Roman"/>
          <w:b w:val="0"/>
          <w:strike/>
          <w:sz w:val="24"/>
        </w:rPr>
        <w:t>时可能出现</w:t>
      </w:r>
      <w:r>
        <w:rPr>
          <w:rFonts w:ascii="Times New Roman" w:hAnsi="Times New Roman" w:eastAsia="宋体" w:cs="Times New Roman"/>
          <w:b w:val="0"/>
          <w:sz w:val="24"/>
          <w:highlight w:val="yellow"/>
        </w:rPr>
        <w:t>受到推进器推力饱和与多自由度控制分配能力的制约，在执行复杂机动作业时易出现</w:t>
      </w:r>
      <w:r>
        <w:rPr>
          <w:rFonts w:ascii="Times New Roman" w:hAnsi="Times New Roman" w:eastAsia="宋体" w:cs="Times New Roman"/>
          <w:b w:val="0"/>
          <w:sz w:val="24"/>
        </w:rPr>
        <w:t>执行器饱和。常规比例—积分—微分（PID）控制难以直接兼顾多变量耦合与执行器约束；模型预测控制（MPC）能够将约束纳入优化，但需要权衡模型预测精度与在线求解开销。同时，PX4提供控制接口、状态反馈和执行器管理等基础能力，但其水下航行器支持仍处于实验性阶段，针对八推进器构型开展平台适配和闭环验证具有实际必要性。</w:t>
      </w:r>
    </w:p>
    <w:p w14:paraId="38717A61">
      <w:pPr>
        <w:spacing w:before="0" w:after="0" w:line="360" w:lineRule="auto"/>
        <w:ind w:firstLine="480" w:firstLineChars="200"/>
        <w:jc w:val="left"/>
      </w:pPr>
      <w:r/>
      <w:r>
        <w:rPr>
          <w:rFonts w:ascii="Times New Roman" w:hAnsi="Times New Roman" w:eastAsia="宋体" w:cs="Times New Roman"/>
          <w:b w:val="0"/>
          <w:sz w:val="24"/>
        </w:rPr>
        <w:t>为此，本课题以八推进器水下航行器为研究对象，</w:t>
      </w:r>
      <w:r>
        <w:rPr>
          <w:rFonts w:ascii="Times New Roman" w:hAnsi="Times New Roman" w:eastAsia="宋体" w:cs="Times New Roman"/>
          <w:b w:val="0"/>
          <w:strike/>
          <w:color w:val="0000FF"/>
          <w:sz w:val="24"/>
        </w:rPr>
        <w:t>依托PX4</w:t>
      </w:r>
      <w:r>
        <w:rPr>
          <w:rFonts w:ascii="Times New Roman" w:hAnsi="Times New Roman" w:eastAsia="宋体" w:cs="Times New Roman"/>
          <w:b w:val="0"/>
          <w:strike/>
          <w:sz w:val="24"/>
        </w:rPr>
        <w:t>开展动力学建模、参数辨识与</w:t>
      </w:r>
      <w:r>
        <w:rPr>
          <w:rFonts w:ascii="Times New Roman" w:hAnsi="Times New Roman" w:eastAsia="宋体" w:cs="Times New Roman"/>
          <w:b/>
          <w:strike/>
          <w:color w:val="0000FF"/>
          <w:sz w:val="24"/>
        </w:rPr>
        <w:t>约束预测控制研究</w:t>
      </w:r>
      <w:r>
        <w:rPr>
          <w:rFonts w:ascii="Times New Roman" w:hAnsi="Times New Roman" w:eastAsia="宋体" w:cs="Times New Roman"/>
          <w:b w:val="0"/>
          <w:sz w:val="24"/>
          <w:highlight w:val="yellow"/>
        </w:rPr>
        <w:t>开展面向控制的动力学建模与参数辨识，探索考虑执行器约束的模型预测控制（MPC）方法及其与PX4系统的集成应用</w:t>
      </w:r>
      <w:r>
        <w:rPr>
          <w:rFonts w:ascii="Times New Roman" w:hAnsi="Times New Roman" w:eastAsia="宋体" w:cs="Times New Roman"/>
          <w:b w:val="0"/>
          <w:sz w:val="24"/>
        </w:rPr>
        <w:t>。首先</w:t>
      </w:r>
      <w:r>
        <w:rPr>
          <w:rFonts w:ascii="Times New Roman" w:hAnsi="Times New Roman" w:eastAsia="宋体" w:cs="Times New Roman"/>
          <w:b w:val="0"/>
          <w:strike/>
          <w:sz w:val="24"/>
        </w:rPr>
        <w:t>建立六自由度运动模型及推力配置关系，利用可获得的试验数据辨识关键水动力参数并选取轻量化预测模型</w:t>
      </w:r>
      <w:r>
        <w:rPr>
          <w:rFonts w:ascii="Times New Roman" w:hAnsi="Times New Roman" w:eastAsia="宋体" w:cs="Times New Roman"/>
          <w:b w:val="0"/>
          <w:sz w:val="24"/>
          <w:highlight w:val="yellow"/>
        </w:rPr>
        <w:t>构建多种动力学候选模型及空间推力映射关系，基于试验数据开展模型比选与论证</w:t>
      </w:r>
      <w:r>
        <w:rPr>
          <w:rFonts w:ascii="Times New Roman" w:hAnsi="Times New Roman" w:eastAsia="宋体" w:cs="Times New Roman"/>
          <w:b w:val="0"/>
          <w:sz w:val="24"/>
        </w:rPr>
        <w:t>；其次</w:t>
      </w:r>
      <w:r>
        <w:rPr>
          <w:rFonts w:ascii="Times New Roman" w:hAnsi="Times New Roman" w:eastAsia="宋体" w:cs="Times New Roman"/>
          <w:b w:val="0"/>
          <w:strike/>
          <w:sz w:val="24"/>
        </w:rPr>
        <w:t>设计考虑推进器约束的轨迹跟踪控制方法，研究控制输出与PX4状态、控制及执行器接口的衔接</w:t>
      </w:r>
      <w:r>
        <w:rPr>
          <w:rFonts w:ascii="Times New Roman" w:hAnsi="Times New Roman" w:eastAsia="宋体" w:cs="Times New Roman"/>
          <w:b w:val="0"/>
          <w:sz w:val="24"/>
          <w:highlight w:val="yellow"/>
        </w:rPr>
        <w:t>设计考虑推进器约束的轨迹跟踪控制算法，探索并比选预测控制器与PX4系统的接口集成方案</w:t>
      </w:r>
      <w:r>
        <w:rPr>
          <w:rFonts w:ascii="Times New Roman" w:hAnsi="Times New Roman" w:eastAsia="宋体" w:cs="Times New Roman"/>
          <w:b w:val="0"/>
          <w:sz w:val="24"/>
        </w:rPr>
        <w:t>；最后通过</w:t>
      </w:r>
      <w:r>
        <w:rPr>
          <w:rFonts w:ascii="Times New Roman" w:hAnsi="Times New Roman" w:eastAsia="宋体" w:cs="Times New Roman"/>
          <w:b w:val="0"/>
          <w:strike/>
          <w:color w:val="0000FF"/>
          <w:sz w:val="24"/>
        </w:rPr>
        <w:t>数值仿真</w:t>
      </w:r>
      <w:r>
        <w:rPr>
          <w:rFonts w:ascii="Times New Roman" w:hAnsi="Times New Roman" w:eastAsia="宋体" w:cs="Times New Roman"/>
          <w:b w:val="0"/>
          <w:sz w:val="24"/>
          <w:highlight w:val="yellow"/>
        </w:rPr>
        <w:t>动力学仿真</w:t>
      </w:r>
      <w:r>
        <w:rPr>
          <w:rFonts w:ascii="Times New Roman" w:hAnsi="Times New Roman" w:eastAsia="宋体" w:cs="Times New Roman"/>
          <w:b w:val="0"/>
          <w:sz w:val="24"/>
        </w:rPr>
        <w:t>、PX4软件在环</w:t>
      </w:r>
      <w:r>
        <w:rPr>
          <w:rFonts w:ascii="Times New Roman" w:hAnsi="Times New Roman" w:eastAsia="宋体" w:cs="Times New Roman"/>
          <w:b w:val="0"/>
          <w:sz w:val="24"/>
          <w:highlight w:val="yellow"/>
        </w:rPr>
        <w:t>（Software-in-the-Loop, SITL）仿真以及</w:t>
      </w:r>
      <w:r>
        <w:rPr>
          <w:rFonts w:ascii="Times New Roman" w:hAnsi="Times New Roman" w:eastAsia="宋体" w:cs="Times New Roman"/>
          <w:b w:val="0"/>
          <w:strike/>
          <w:sz w:val="24"/>
        </w:rPr>
        <w:t>和</w:t>
      </w:r>
      <w:r>
        <w:rPr>
          <w:rFonts w:ascii="Times New Roman" w:hAnsi="Times New Roman" w:eastAsia="宋体" w:cs="Times New Roman"/>
          <w:b w:val="0"/>
          <w:strike/>
          <w:color w:val="0000FF"/>
          <w:sz w:val="24"/>
        </w:rPr>
        <w:t>具备条件时</w:t>
      </w:r>
      <w:r>
        <w:rPr>
          <w:rFonts w:ascii="Times New Roman" w:hAnsi="Times New Roman" w:eastAsia="宋体" w:cs="Times New Roman"/>
          <w:b w:val="0"/>
          <w:sz w:val="24"/>
          <w:highlight w:val="yellow"/>
        </w:rPr>
        <w:t>视水池试验条件开展</w:t>
      </w:r>
      <w:r>
        <w:rPr>
          <w:rFonts w:ascii="Times New Roman" w:hAnsi="Times New Roman" w:eastAsia="宋体" w:cs="Times New Roman"/>
          <w:b w:val="0"/>
          <w:strike/>
          <w:sz w:val="24"/>
        </w:rPr>
        <w:t>的水池试验，对跟踪精度、</w:t>
      </w:r>
      <w:r>
        <w:rPr>
          <w:rFonts w:ascii="Times New Roman" w:hAnsi="Times New Roman" w:eastAsia="宋体" w:cs="Times New Roman"/>
          <w:b w:val="0"/>
          <w:sz w:val="24"/>
          <w:highlight w:val="yellow"/>
        </w:rPr>
        <w:t>的实物验证，对跟踪精度、推力饱和情况与计算实时性进行综合评估</w:t>
      </w:r>
      <w:r>
        <w:rPr>
          <w:rFonts w:ascii="Times New Roman" w:hAnsi="Times New Roman" w:eastAsia="宋体" w:cs="Times New Roman"/>
          <w:b w:val="0"/>
          <w:strike/>
          <w:sz w:val="24"/>
        </w:rPr>
        <w:t>约束满足情况与计算实时性进行对比评价</w:t>
      </w:r>
      <w:r>
        <w:rPr>
          <w:rFonts w:ascii="Times New Roman" w:hAnsi="Times New Roman" w:eastAsia="宋体" w:cs="Times New Roman"/>
          <w:b w:val="0"/>
          <w:sz w:val="24"/>
        </w:rPr>
        <w:t>，为八推进器水下航行器的控制实现提供依据。</w:t>
      </w:r>
    </w:p>
    <w:permEnd w:id="15"/>
    <w:p w14:paraId="3223F855">
      <w:pPr>
        <w:spacing w:before="120" w:beforeLines="50" w:after="120" w:afterLines="50" w:line="360" w:lineRule="exact"/>
        <w:rPr>
          <w:rFonts w:hint="eastAsia" w:ascii="楷体_GB2312" w:hAnsi="宋体" w:eastAsia="楷体_GB2312"/>
          <w:sz w:val="24"/>
        </w:rPr>
      </w:pPr>
      <w:r>
        <w:rPr>
          <w:rFonts w:hint="eastAsia" w:ascii="黑体" w:hAnsi="宋体" w:eastAsia="黑体"/>
          <w:sz w:val="28"/>
        </w:rPr>
        <w:t>二、</w:t>
      </w:r>
      <w:permStart w:id="16" w:edGrp="everyone"/>
      <w:r>
        <w:rPr>
          <w:rFonts w:hint="eastAsia" w:ascii="黑体" w:eastAsia="黑体"/>
          <w:sz w:val="28"/>
        </w:rPr>
        <w:t>毕业设计（论文）</w:t>
      </w:r>
      <w:permEnd w:id="16"/>
      <w:r>
        <w:rPr>
          <w:rFonts w:ascii="黑体" w:hAnsi="宋体" w:eastAsia="黑体"/>
          <w:sz w:val="28"/>
        </w:rPr>
        <w:t>应完成的主要内容</w:t>
      </w:r>
    </w:p>
    <w:p w14:paraId="28FAA474">
      <w:pPr>
        <w:spacing w:before="0" w:after="0" w:line="360" w:lineRule="auto"/>
        <w:jc w:val="left"/>
        <w:rPr>
          <w:rFonts w:hint="eastAsia"/>
        </w:rPr>
      </w:pPr>
      <w:r/>
      <w:r>
        <w:rPr>
          <w:rFonts w:ascii="Times New Roman" w:hAnsi="Times New Roman" w:eastAsia="黑体" w:cs="Times New Roman"/>
          <w:b/>
          <w:sz w:val="24"/>
        </w:rPr>
        <w:t>2.1 八推进器水下航行器动力学建模</w:t>
      </w:r>
      <w:r>
        <w:rPr>
          <w:rFonts w:ascii="Times New Roman" w:hAnsi="Times New Roman" w:eastAsia="黑体" w:cs="Times New Roman"/>
          <w:b/>
          <w:strike/>
          <w:sz w:val="24"/>
        </w:rPr>
        <w:t>与推力配置</w:t>
      </w:r>
    </w:p>
    <w:p w14:paraId="4ADAB5D6">
      <w:pPr>
        <w:spacing w:before="0" w:after="0" w:line="360" w:lineRule="auto"/>
        <w:ind w:firstLine="480" w:firstLineChars="200"/>
        <w:jc w:val="left"/>
        <w:rPr>
          <w:b/>
          <w:bCs/>
          <w:color w:val="0000FF"/>
        </w:rPr>
      </w:pPr>
      <w:r/>
      <w:r>
        <w:rPr>
          <w:rFonts w:ascii="Times New Roman" w:hAnsi="Times New Roman" w:eastAsia="宋体" w:cs="Times New Roman"/>
          <w:b/>
          <w:strike/>
          <w:color w:val="0000FF"/>
          <w:sz w:val="24"/>
        </w:rPr>
        <w:t>以紧凑型八推进器水下航行器为研究对象，建立惯性坐标系和载体坐标系下的六自由度运动学方程；依据推进器安装位置、方向及推力特性，构建推力到六维广义力的配置矩阵，检验矩阵秩与可实现的控制方向；综合考虑刚体惯性、附加质量、阻尼和重浮力恢复力矩，建立动力学模型并明确简化假设及待辨识参数。同时梳理PX4的机型配置、状态反馈和执行器输出接口，建立模型变量与PX4控制量的对应关系。</w:t>
      </w:r>
      <w:r>
        <w:rPr>
          <w:rFonts w:ascii="Times New Roman" w:hAnsi="Times New Roman" w:eastAsia="宋体" w:cs="Times New Roman"/>
          <w:b w:val="0"/>
          <w:sz w:val="24"/>
          <w:highlight w:val="yellow"/>
        </w:rPr>
        <w:t>针对紧凑型八推进器水下航行器，开展面向运动控制的动力学建模研究。结合经典物理机理建模与数据驱动（Data-driven）方法，构建涵盖非线性机理模型、降阶解耦模型及数据驱动模型的多种动力学候选模型体系，分析各候选模型的物理表征能力、输入输出形式与结构复杂度；依据推进器在航行器上的空间几何安装位置与矢量朝向，建立单机推力向多自由度广义力与力矩的映射关系，分析控制方向的可达性与推力饱和特性，为后续模型比选与预测控制奠定物理与数学基础。</w:t>
      </w:r>
    </w:p>
    <w:p w14:paraId="2B584EF2">
      <w:pPr>
        <w:spacing w:before="60" w:after="0" w:line="360" w:lineRule="auto"/>
        <w:jc w:val="left"/>
      </w:pPr>
      <w:r/>
      <w:r>
        <w:rPr>
          <w:rFonts w:ascii="Times New Roman" w:hAnsi="Times New Roman" w:eastAsia="黑体" w:cs="Times New Roman"/>
          <w:b/>
          <w:sz w:val="24"/>
        </w:rPr>
        <w:t>2.2 基于试验数据的水动力参数辨识与预测模型</w:t>
      </w:r>
      <w:r>
        <w:rPr>
          <w:rFonts w:ascii="Times New Roman" w:hAnsi="Times New Roman" w:eastAsia="黑体" w:cs="Times New Roman"/>
          <w:b/>
          <w:strike/>
          <w:sz w:val="24"/>
        </w:rPr>
        <w:t>选取</w:t>
      </w:r>
      <w:r>
        <w:rPr>
          <w:rFonts w:ascii="Times New Roman" w:hAnsi="Times New Roman" w:eastAsia="黑体" w:cs="Times New Roman"/>
          <w:b/>
          <w:sz w:val="24"/>
          <w:highlight w:val="yellow"/>
        </w:rPr>
        <w:t>比选</w:t>
      </w:r>
    </w:p>
    <w:p w14:paraId="2136A7EB">
      <w:pPr>
        <w:spacing w:before="0" w:after="0" w:line="360" w:lineRule="auto"/>
        <w:ind w:firstLine="480" w:firstLineChars="200"/>
        <w:jc w:val="left"/>
      </w:pPr>
      <w:r/>
      <w:r>
        <w:rPr>
          <w:rFonts w:ascii="Times New Roman" w:hAnsi="Times New Roman" w:eastAsia="宋体" w:cs="Times New Roman"/>
          <w:b w:val="0"/>
          <w:strike/>
          <w:sz w:val="24"/>
        </w:rPr>
        <w:t>利用</w:t>
      </w:r>
      <w:r>
        <w:rPr>
          <w:rFonts w:ascii="Times New Roman" w:hAnsi="Times New Roman" w:eastAsia="宋体" w:cs="Times New Roman"/>
          <w:b w:val="0"/>
          <w:strike/>
          <w:color w:val="0000FF"/>
          <w:sz w:val="24"/>
        </w:rPr>
        <w:t>可获得的水池或台架试验数据</w:t>
      </w:r>
      <w:r>
        <w:rPr>
          <w:rFonts w:ascii="Times New Roman" w:hAnsi="Times New Roman" w:eastAsia="宋体" w:cs="Times New Roman"/>
          <w:b w:val="0"/>
          <w:sz w:val="24"/>
          <w:highlight w:val="yellow"/>
        </w:rPr>
        <w:t>基于水下航行器水池运行实测数据，整理并预处理试验运行数据，提取推进器控制输入与航行器运动响应数据；开展模型辨识与参数拟合，评估模型在不同工况下的泛化能力与预测误差；</w:t>
      </w:r>
      <w:r>
        <w:rPr>
          <w:rFonts w:ascii="Times New Roman" w:hAnsi="Times New Roman" w:eastAsia="宋体" w:cs="Times New Roman"/>
          <w:b w:val="0"/>
          <w:strike/>
          <w:sz w:val="24"/>
        </w:rPr>
        <w:t>，</w:t>
      </w:r>
      <w:r>
        <w:rPr>
          <w:rFonts w:ascii="Times New Roman" w:hAnsi="Times New Roman" w:eastAsia="宋体" w:cs="Times New Roman"/>
          <w:b/>
          <w:strike/>
          <w:color w:val="0000FF"/>
          <w:sz w:val="24"/>
        </w:rPr>
        <w:t>采集并预处理推进器指令及航行器姿态、速度等运动响应，完成滤波与时间同步</w:t>
      </w:r>
      <w:r>
        <w:rPr>
          <w:rFonts w:ascii="Times New Roman" w:hAnsi="Times New Roman" w:eastAsia="宋体" w:cs="Times New Roman"/>
          <w:b w:val="0"/>
          <w:strike/>
          <w:sz w:val="24"/>
        </w:rPr>
        <w:t>；基于动力学方程辨识附加质量、阻尼等关键参数，</w:t>
      </w:r>
      <w:r>
        <w:rPr>
          <w:rFonts w:ascii="Times New Roman" w:hAnsi="Times New Roman" w:eastAsia="宋体" w:cs="Times New Roman"/>
          <w:b/>
          <w:strike/>
          <w:color w:val="0000FF"/>
          <w:sz w:val="24"/>
        </w:rPr>
        <w:t>分析激励充分性、参数可辨识性及模型误差</w:t>
      </w:r>
      <w:r>
        <w:rPr>
          <w:rFonts w:ascii="Times New Roman" w:hAnsi="Times New Roman" w:eastAsia="宋体" w:cs="Times New Roman"/>
          <w:b w:val="0"/>
          <w:strike/>
          <w:sz w:val="24"/>
        </w:rPr>
        <w:t>，并选取</w:t>
      </w:r>
      <w:r>
        <w:rPr>
          <w:rFonts w:ascii="Times New Roman" w:hAnsi="Times New Roman" w:eastAsia="宋体" w:cs="Times New Roman"/>
          <w:b/>
          <w:strike/>
          <w:color w:val="0000FF"/>
          <w:sz w:val="24"/>
        </w:rPr>
        <w:t>简化</w:t>
      </w:r>
      <w:r>
        <w:rPr>
          <w:rFonts w:ascii="Times New Roman" w:hAnsi="Times New Roman" w:eastAsia="宋体" w:cs="Times New Roman"/>
          <w:b w:val="0"/>
          <w:strike/>
          <w:sz w:val="24"/>
        </w:rPr>
        <w:t>模型进行对照；</w:t>
      </w:r>
      <w:r>
        <w:rPr>
          <w:rFonts w:ascii="Times New Roman" w:hAnsi="Times New Roman" w:eastAsia="宋体" w:cs="Times New Roman"/>
          <w:b/>
          <w:strike/>
          <w:color w:val="0000FF"/>
          <w:sz w:val="24"/>
        </w:rPr>
        <w:t>通过独立工况的多步预测误差和单次计算耗时比较候选模型</w:t>
      </w:r>
      <w:r>
        <w:rPr>
          <w:rFonts w:ascii="Times New Roman" w:hAnsi="Times New Roman" w:eastAsia="宋体" w:cs="Times New Roman"/>
          <w:b w:val="0"/>
          <w:sz w:val="24"/>
          <w:highlight w:val="yellow"/>
        </w:rPr>
        <w:t>建立统一的模型评估准则，在独立工况下对多种动力学候选模型的多步递推预测精度、泛化稳定性与单步计算耗时进行横向对比与综合论证，优选出兼顾动力学描述能力与在线计算实时性的离散预测模型。</w:t>
      </w:r>
      <w:r>
        <w:rPr>
          <w:rFonts w:ascii="Times New Roman" w:hAnsi="Times New Roman" w:eastAsia="宋体" w:cs="Times New Roman"/>
          <w:b w:val="0"/>
          <w:strike/>
          <w:sz w:val="24"/>
        </w:rPr>
        <w:t>，确定适用于后续MPC的离散预测模型。</w:t>
      </w:r>
    </w:p>
    <w:p w14:paraId="5DEDE137">
      <w:pPr>
        <w:spacing w:before="60" w:after="0" w:line="360" w:lineRule="auto"/>
        <w:jc w:val="left"/>
      </w:pPr>
      <w:r/>
      <w:r>
        <w:rPr>
          <w:rFonts w:ascii="Times New Roman" w:hAnsi="Times New Roman" w:eastAsia="黑体" w:cs="Times New Roman"/>
          <w:b/>
          <w:sz w:val="24"/>
        </w:rPr>
        <w:t>2.3 面向轨迹跟踪的</w:t>
      </w:r>
      <w:r>
        <w:rPr>
          <w:rFonts w:ascii="Times New Roman" w:hAnsi="Times New Roman" w:eastAsia="黑体" w:cs="Times New Roman"/>
          <w:b/>
          <w:strike/>
          <w:sz w:val="24"/>
        </w:rPr>
        <w:t>约束</w:t>
      </w:r>
      <w:r>
        <w:rPr>
          <w:rFonts w:ascii="Times New Roman" w:hAnsi="Times New Roman" w:eastAsia="黑体" w:cs="Times New Roman"/>
          <w:b/>
          <w:sz w:val="24"/>
        </w:rPr>
        <w:t>预测控制与PX4</w:t>
      </w:r>
      <w:r>
        <w:rPr>
          <w:rFonts w:ascii="Times New Roman" w:hAnsi="Times New Roman" w:eastAsia="黑体" w:cs="Times New Roman"/>
          <w:b/>
          <w:sz w:val="24"/>
          <w:highlight w:val="yellow"/>
        </w:rPr>
        <w:t>架构</w:t>
      </w:r>
      <w:r>
        <w:rPr>
          <w:rFonts w:ascii="Times New Roman" w:hAnsi="Times New Roman" w:eastAsia="黑体" w:cs="Times New Roman"/>
          <w:b/>
          <w:sz w:val="24"/>
        </w:rPr>
        <w:t>接口实现</w:t>
      </w:r>
    </w:p>
    <w:p w14:paraId="523EA2DC">
      <w:pPr>
        <w:spacing w:before="0" w:after="0" w:line="360" w:lineRule="auto"/>
        <w:ind w:firstLine="480" w:firstLineChars="200"/>
        <w:jc w:val="left"/>
      </w:pPr>
      <w:r/>
      <w:r>
        <w:rPr>
          <w:rFonts w:ascii="Times New Roman" w:hAnsi="Times New Roman" w:eastAsia="宋体" w:cs="Times New Roman"/>
          <w:b w:val="0"/>
          <w:sz w:val="24"/>
        </w:rPr>
        <w:t>针对水下精细巡检轨迹跟踪任务，基于所选</w:t>
      </w:r>
      <w:r>
        <w:rPr>
          <w:rFonts w:ascii="Times New Roman" w:hAnsi="Times New Roman" w:eastAsia="宋体" w:cs="Times New Roman"/>
          <w:b w:val="0"/>
          <w:sz w:val="24"/>
          <w:highlight w:val="yellow"/>
        </w:rPr>
        <w:t>离散</w:t>
      </w:r>
      <w:r>
        <w:rPr>
          <w:rFonts w:ascii="Times New Roman" w:hAnsi="Times New Roman" w:eastAsia="宋体" w:cs="Times New Roman"/>
          <w:b w:val="0"/>
          <w:sz w:val="24"/>
        </w:rPr>
        <w:t>预测模型设计模型预测控制（MPC）算法；</w:t>
      </w:r>
      <w:r>
        <w:rPr>
          <w:rFonts w:ascii="Times New Roman" w:hAnsi="Times New Roman" w:eastAsia="宋体" w:cs="Times New Roman"/>
          <w:b/>
          <w:strike/>
          <w:color w:val="0000FF"/>
          <w:sz w:val="24"/>
        </w:rPr>
        <w:t>以位置和姿态跟踪误差、控制输入及其变化率为评价量</w:t>
      </w:r>
      <w:r>
        <w:rPr>
          <w:rFonts w:ascii="Times New Roman" w:hAnsi="Times New Roman" w:eastAsia="宋体" w:cs="Times New Roman"/>
          <w:b w:val="0"/>
          <w:sz w:val="24"/>
          <w:highlight w:val="yellow"/>
        </w:rPr>
        <w:t>以轨迹跟踪精度与控制平稳性为优化目标，考虑推进器推力饱和等物理约束。围绕航行器轨迹跟踪外环与姿态执行内环的协同问题，深入调研PX4飞控系统的控制分配与接口机制；对比分析“由上层MPC规划运动参考并依托PX4原生内环稳定姿态的分层协同方案”，与“由MPC直接解算多自由度广义控制力矩的集中控制方案”，论证两类接口方案在控制权划分、通信延迟与运行稳定性上的可行性；</w:t>
      </w:r>
      <w:r>
        <w:rPr>
          <w:rFonts w:ascii="Times New Roman" w:hAnsi="Times New Roman" w:eastAsia="宋体" w:cs="Times New Roman"/>
          <w:b w:val="0"/>
          <w:strike/>
          <w:sz w:val="24"/>
        </w:rPr>
        <w:t>，明确推进器推力幅值与变化率约束，</w:t>
      </w:r>
      <w:r>
        <w:rPr>
          <w:rFonts w:ascii="Times New Roman" w:hAnsi="Times New Roman" w:eastAsia="宋体" w:cs="Times New Roman"/>
          <w:b/>
          <w:strike/>
          <w:color w:val="0000FF"/>
          <w:sz w:val="24"/>
        </w:rPr>
        <w:t>并结合任务需要设置可实现的状态约束</w:t>
      </w:r>
      <w:r>
        <w:rPr>
          <w:rFonts w:ascii="Times New Roman" w:hAnsi="Times New Roman" w:eastAsia="宋体" w:cs="Times New Roman"/>
          <w:b w:val="0"/>
          <w:strike/>
          <w:sz w:val="24"/>
        </w:rPr>
        <w:t>；研究广义力指令、八推进器控制分配与PX4执行器输出之间的接口和离散求解实现，</w:t>
      </w:r>
      <w:r>
        <w:rPr>
          <w:rFonts w:ascii="Times New Roman" w:hAnsi="Times New Roman" w:eastAsia="宋体" w:cs="Times New Roman"/>
          <w:b/>
          <w:strike/>
          <w:color w:val="0000FF"/>
          <w:sz w:val="24"/>
        </w:rPr>
        <w:t>设置求解异常时的安全回退方式</w:t>
      </w:r>
      <w:r>
        <w:rPr>
          <w:rFonts w:ascii="Times New Roman" w:hAnsi="Times New Roman" w:eastAsia="宋体" w:cs="Times New Roman"/>
          <w:b w:val="0"/>
          <w:strike/>
          <w:sz w:val="24"/>
        </w:rPr>
        <w:t>，并通过在线求解耗时与超时情况评估控制周期内运行的可行性。</w:t>
      </w:r>
      <w:r>
        <w:rPr>
          <w:rFonts w:ascii="Times New Roman" w:hAnsi="Times New Roman" w:eastAsia="宋体" w:cs="Times New Roman"/>
          <w:b w:val="0"/>
          <w:sz w:val="24"/>
          <w:highlight w:val="yellow"/>
        </w:rPr>
        <w:t>通过求解耗时统计评估控制方法在规定控制周期内稳定运行的实时性。</w:t>
      </w:r>
    </w:p>
    <w:p w14:paraId="6BC13440">
      <w:pPr>
        <w:spacing w:before="60" w:after="0" w:line="360" w:lineRule="auto"/>
        <w:jc w:val="left"/>
      </w:pPr>
      <w:r>
        <w:rPr>
          <w:rFonts w:ascii="Times New Roman" w:hAnsi="Times New Roman" w:eastAsia="黑体" w:cs="Times New Roman"/>
          <w:b w:val="0"/>
          <w:sz w:val="24"/>
        </w:rPr>
        <w:t>2.4 基于PX4的闭环仿真与分级实验验证</w:t>
      </w:r>
    </w:p>
    <w:p w14:paraId="58D15697">
      <w:pPr>
        <w:spacing w:before="0" w:after="0" w:line="360" w:lineRule="auto"/>
        <w:ind w:firstLine="480" w:firstLineChars="200"/>
        <w:jc w:val="left"/>
      </w:pPr>
      <w:r/>
      <w:r>
        <w:rPr>
          <w:rFonts w:ascii="Times New Roman" w:hAnsi="Times New Roman" w:eastAsia="宋体" w:cs="Times New Roman"/>
          <w:b w:val="0"/>
          <w:sz w:val="24"/>
        </w:rPr>
        <w:t>搭建包含</w:t>
      </w:r>
      <w:r>
        <w:rPr>
          <w:rFonts w:ascii="Times New Roman" w:hAnsi="Times New Roman" w:eastAsia="宋体" w:cs="Times New Roman"/>
          <w:b w:val="0"/>
          <w:strike/>
          <w:sz w:val="24"/>
        </w:rPr>
        <w:t>六自由度</w:t>
      </w:r>
      <w:r>
        <w:rPr>
          <w:rFonts w:ascii="Times New Roman" w:hAnsi="Times New Roman" w:eastAsia="宋体" w:cs="Times New Roman"/>
          <w:b w:val="0"/>
          <w:sz w:val="24"/>
        </w:rPr>
        <w:t>动力学</w:t>
      </w:r>
      <w:r>
        <w:rPr>
          <w:rFonts w:ascii="Times New Roman" w:hAnsi="Times New Roman" w:eastAsia="宋体" w:cs="Times New Roman"/>
          <w:b w:val="0"/>
          <w:sz w:val="24"/>
          <w:highlight w:val="yellow"/>
        </w:rPr>
        <w:t>特性</w:t>
      </w:r>
      <w:r>
        <w:rPr>
          <w:rFonts w:ascii="Times New Roman" w:hAnsi="Times New Roman" w:eastAsia="宋体" w:cs="Times New Roman"/>
          <w:b w:val="0"/>
          <w:sz w:val="24"/>
        </w:rPr>
        <w:t>、推进器约束和水流扰动的数值仿真环境，</w:t>
      </w:r>
      <w:r>
        <w:rPr>
          <w:rFonts w:ascii="Times New Roman" w:hAnsi="Times New Roman" w:eastAsia="宋体" w:cs="Times New Roman"/>
          <w:b w:val="0"/>
          <w:strike/>
          <w:sz w:val="24"/>
        </w:rPr>
        <w:t>并</w:t>
      </w:r>
      <w:r>
        <w:rPr>
          <w:rFonts w:ascii="Times New Roman" w:hAnsi="Times New Roman" w:eastAsia="宋体" w:cs="Times New Roman"/>
          <w:b w:val="0"/>
          <w:sz w:val="24"/>
        </w:rPr>
        <w:t>开展PX4软件在环</w:t>
      </w:r>
      <w:r>
        <w:rPr>
          <w:rFonts w:ascii="Times New Roman" w:hAnsi="Times New Roman" w:eastAsia="宋体" w:cs="Times New Roman"/>
          <w:b w:val="0"/>
          <w:strike/>
          <w:color w:val="0000FF"/>
          <w:sz w:val="24"/>
        </w:rPr>
        <w:t>（SITL）</w:t>
      </w:r>
      <w:r>
        <w:rPr>
          <w:rFonts w:ascii="Times New Roman" w:hAnsi="Times New Roman" w:eastAsia="宋体" w:cs="Times New Roman"/>
          <w:b w:val="0"/>
          <w:sz w:val="24"/>
          <w:highlight w:val="yellow"/>
        </w:rPr>
        <w:t>（Software-in-the-Loop, SITL）仿真</w:t>
      </w:r>
      <w:r>
        <w:rPr>
          <w:rFonts w:ascii="Times New Roman" w:hAnsi="Times New Roman" w:eastAsia="宋体" w:cs="Times New Roman"/>
          <w:b w:val="0"/>
          <w:sz w:val="24"/>
        </w:rPr>
        <w:t>接口联调；设置定点悬停、直线与曲线轨迹</w:t>
      </w:r>
      <w:r>
        <w:rPr>
          <w:rFonts w:ascii="Times New Roman" w:hAnsi="Times New Roman" w:eastAsia="宋体" w:cs="Times New Roman"/>
          <w:b w:val="0"/>
          <w:strike/>
          <w:sz w:val="24"/>
        </w:rPr>
        <w:t>、姿态变化和</w:t>
      </w:r>
      <w:r>
        <w:rPr>
          <w:rFonts w:ascii="Times New Roman" w:hAnsi="Times New Roman" w:eastAsia="宋体" w:cs="Times New Roman"/>
          <w:b w:val="0"/>
          <w:sz w:val="24"/>
          <w:highlight w:val="yellow"/>
        </w:rPr>
        <w:t>及</w:t>
      </w:r>
      <w:r>
        <w:rPr>
          <w:rFonts w:ascii="Times New Roman" w:hAnsi="Times New Roman" w:eastAsia="宋体" w:cs="Times New Roman"/>
          <w:b w:val="0"/>
          <w:sz w:val="24"/>
        </w:rPr>
        <w:t>水流扰动等</w:t>
      </w:r>
      <w:r>
        <w:rPr>
          <w:rFonts w:ascii="Times New Roman" w:hAnsi="Times New Roman" w:eastAsia="宋体" w:cs="Times New Roman"/>
          <w:b w:val="0"/>
          <w:strike/>
          <w:sz w:val="24"/>
        </w:rPr>
        <w:t>工况，</w:t>
      </w:r>
      <w:r>
        <w:rPr>
          <w:rFonts w:ascii="Times New Roman" w:hAnsi="Times New Roman" w:eastAsia="宋体" w:cs="Times New Roman"/>
          <w:b w:val="0"/>
          <w:sz w:val="24"/>
          <w:highlight w:val="yellow"/>
        </w:rPr>
        <w:t>典型工况，以常规控制方法为基准，对比分析轨迹跟踪效果、推力饱和情况与计算求解耗时；重点开展PX4软件在环闭环仿真测试，并视水池试验条件拓展开展典型工况的实物验证。</w:t>
      </w:r>
      <w:r>
        <w:rPr>
          <w:rFonts w:ascii="Times New Roman" w:hAnsi="Times New Roman" w:eastAsia="宋体" w:cs="Times New Roman"/>
          <w:b/>
          <w:strike/>
          <w:color w:val="0000FF"/>
          <w:sz w:val="24"/>
        </w:rPr>
        <w:t>以PID控制为基准，记录位置及姿态跟踪误差、推力饱和占比、约束违反情况与单步求解耗时</w:t>
      </w:r>
      <w:r>
        <w:rPr>
          <w:rFonts w:ascii="Times New Roman" w:hAnsi="Times New Roman" w:eastAsia="宋体" w:cs="Times New Roman"/>
          <w:b w:val="0"/>
          <w:strike/>
          <w:sz w:val="24"/>
        </w:rPr>
        <w:t>，开展定量对比；</w:t>
      </w:r>
      <w:r>
        <w:rPr>
          <w:rFonts w:ascii="Times New Roman" w:hAnsi="Times New Roman" w:eastAsia="宋体" w:cs="Times New Roman"/>
          <w:b w:val="0"/>
          <w:strike/>
          <w:color w:val="0000FF"/>
          <w:sz w:val="24"/>
        </w:rPr>
        <w:t>在试验条件允许时</w:t>
      </w:r>
      <w:r>
        <w:rPr>
          <w:rFonts w:ascii="Times New Roman" w:hAnsi="Times New Roman" w:eastAsia="宋体" w:cs="Times New Roman"/>
          <w:b w:val="0"/>
          <w:strike/>
          <w:sz w:val="24"/>
        </w:rPr>
        <w:t>进一步开展水池悬停及轨迹跟踪验证。</w:t>
      </w:r>
      <w:r>
        <w:rPr>
          <w:rFonts w:ascii="Times New Roman" w:hAnsi="Times New Roman" w:eastAsia="宋体" w:cs="Times New Roman"/>
          <w:b w:val="0"/>
          <w:strike/>
          <w:color w:val="0000FF"/>
          <w:sz w:val="24"/>
        </w:rPr>
        <w:t>若水池试验条件不具备，应完成PX4软件在环闭环验证，并如实说明实物验证范围与限制。</w:t>
      </w:r>
    </w:p>
    <w:permEnd w:id="17"/>
    <w:p w14:paraId="053EE853">
      <w:pPr>
        <w:spacing w:before="120" w:beforeLines="50" w:after="120" w:afterLines="50" w:line="360" w:lineRule="exact"/>
        <w:rPr>
          <w:rFonts w:hint="eastAsia" w:ascii="楷体_GB2312" w:hAnsi="宋体" w:eastAsia="楷体_GB2312"/>
          <w:sz w:val="24"/>
        </w:rPr>
      </w:pPr>
      <w:r>
        <w:rPr>
          <w:rFonts w:hint="eastAsia" w:ascii="黑体" w:hAnsi="宋体" w:eastAsia="黑体"/>
          <w:sz w:val="28"/>
        </w:rPr>
        <w:t>三、</w:t>
      </w:r>
      <w:permStart w:id="18" w:edGrp="everyone"/>
      <w:r>
        <w:rPr>
          <w:rFonts w:hint="eastAsia" w:ascii="黑体" w:eastAsia="黑体"/>
          <w:sz w:val="28"/>
        </w:rPr>
        <w:t>毕业设计（论文）</w:t>
      </w:r>
      <w:permEnd w:id="18"/>
      <w:r>
        <w:rPr>
          <w:rFonts w:ascii="黑体" w:hAnsi="宋体" w:eastAsia="黑体"/>
          <w:sz w:val="28"/>
        </w:rPr>
        <w:t>的基本要求及应完成的成果形式</w:t>
      </w:r>
    </w:p>
    <w:p w14:paraId="5963796A">
      <w:pPr>
        <w:spacing w:before="0" w:after="0" w:line="360" w:lineRule="auto"/>
        <w:ind w:firstLine="480" w:firstLineChars="200"/>
        <w:jc w:val="left"/>
        <w:rPr>
          <w:rFonts w:hint="eastAsia"/>
        </w:rPr>
      </w:pPr>
      <w:permStart w:id="19" w:edGrp="everyone"/>
      <w:r>
        <w:rPr>
          <w:rFonts w:ascii="Times New Roman" w:hAnsi="Times New Roman" w:eastAsia="宋体" w:cs="Times New Roman"/>
          <w:b w:val="0"/>
          <w:sz w:val="24"/>
        </w:rPr>
        <w:t>（1）查阅水下航行器动力学、系统辨识、模型预测控制、推力分配及PX4平台适配等方面的中外文献和官方技术资料，归纳研究进展及适用条件，完成文献综述与外文文献翻译。</w:t>
      </w:r>
    </w:p>
    <w:p w14:paraId="0B0DA60D">
      <w:pPr>
        <w:spacing w:before="0" w:after="0" w:line="360" w:lineRule="auto"/>
        <w:ind w:firstLine="480" w:firstLineChars="200"/>
        <w:jc w:val="left"/>
      </w:pPr>
      <w:r>
        <w:rPr>
          <w:rFonts w:ascii="Times New Roman" w:hAnsi="Times New Roman" w:eastAsia="宋体" w:cs="Times New Roman"/>
          <w:b w:val="0"/>
          <w:sz w:val="24"/>
        </w:rPr>
        <w:t>（2）撰写开题报告，明确研究问题、控制目标、PX4技术路线、实验条件与进度计划，按期参加开题答辩。</w:t>
      </w:r>
    </w:p>
    <w:p w14:paraId="2C54B327">
      <w:pPr>
        <w:spacing w:before="0" w:after="0" w:line="360" w:lineRule="auto"/>
        <w:ind w:firstLine="480" w:firstLineChars="200"/>
        <w:jc w:val="left"/>
      </w:pPr>
      <w:r/>
      <w:r>
        <w:rPr>
          <w:rFonts w:ascii="Times New Roman" w:hAnsi="Times New Roman" w:eastAsia="宋体" w:cs="Times New Roman"/>
          <w:b w:val="0"/>
          <w:sz w:val="24"/>
        </w:rPr>
        <w:t>（3）建立</w:t>
      </w:r>
      <w:r>
        <w:rPr>
          <w:rFonts w:ascii="Times New Roman" w:hAnsi="Times New Roman" w:eastAsia="宋体" w:cs="Times New Roman"/>
          <w:b w:val="0"/>
          <w:strike/>
          <w:sz w:val="24"/>
        </w:rPr>
        <w:t>六自由度</w:t>
      </w:r>
      <w:r>
        <w:rPr>
          <w:rFonts w:ascii="Times New Roman" w:hAnsi="Times New Roman" w:eastAsia="宋体" w:cs="Times New Roman"/>
          <w:b w:val="0"/>
          <w:sz w:val="24"/>
          <w:highlight w:val="yellow"/>
        </w:rPr>
        <w:t>八推进器</w:t>
      </w:r>
      <w:r>
        <w:rPr>
          <w:rFonts w:ascii="Times New Roman" w:hAnsi="Times New Roman" w:eastAsia="宋体" w:cs="Times New Roman"/>
          <w:b w:val="0"/>
          <w:strike/>
          <w:sz w:val="24"/>
        </w:rPr>
        <w:t>运动学及动力学模型，</w:t>
      </w:r>
      <w:r>
        <w:rPr>
          <w:rFonts w:ascii="Times New Roman" w:hAnsi="Times New Roman" w:eastAsia="宋体" w:cs="Times New Roman"/>
          <w:b w:val="0"/>
          <w:sz w:val="24"/>
          <w:highlight w:val="yellow"/>
        </w:rPr>
        <w:t>运动学与动力学多种候选模型，明确空间推力配置映射关系，形成多模型推导与动力学特性分析文档。</w:t>
      </w:r>
      <w:r>
        <w:rPr>
          <w:rFonts w:ascii="Times New Roman" w:hAnsi="Times New Roman" w:eastAsia="宋体" w:cs="Times New Roman"/>
          <w:b w:val="0"/>
          <w:strike/>
          <w:sz w:val="24"/>
        </w:rPr>
        <w:t>给出</w:t>
      </w:r>
      <w:r>
        <w:rPr>
          <w:rFonts w:ascii="Times New Roman" w:hAnsi="Times New Roman" w:eastAsia="宋体" w:cs="Times New Roman"/>
          <w:b/>
          <w:strike/>
          <w:color w:val="0000FF"/>
          <w:sz w:val="24"/>
        </w:rPr>
        <w:t>八推进器推力配置矩阵及秩检验结果</w:t>
      </w:r>
      <w:r>
        <w:rPr>
          <w:rFonts w:ascii="Times New Roman" w:hAnsi="Times New Roman" w:eastAsia="宋体" w:cs="Times New Roman"/>
          <w:b w:val="0"/>
          <w:strike/>
          <w:sz w:val="24"/>
        </w:rPr>
        <w:t>，形成模型推导、参数说明及PX4接口对应关系文档。</w:t>
      </w:r>
    </w:p>
    <w:p w14:paraId="10135EEE">
      <w:pPr>
        <w:spacing w:before="0" w:after="0" w:line="360" w:lineRule="auto"/>
        <w:ind w:firstLine="480" w:firstLineChars="200"/>
        <w:jc w:val="left"/>
      </w:pPr>
      <w:r/>
      <w:r>
        <w:rPr>
          <w:rFonts w:ascii="Times New Roman" w:hAnsi="Times New Roman" w:eastAsia="宋体" w:cs="Times New Roman"/>
          <w:b w:val="0"/>
          <w:sz w:val="24"/>
        </w:rPr>
        <w:t>（4）</w:t>
      </w:r>
      <w:r>
        <w:rPr>
          <w:rFonts w:ascii="Times New Roman" w:hAnsi="Times New Roman" w:eastAsia="宋体" w:cs="Times New Roman"/>
          <w:b w:val="0"/>
          <w:strike/>
          <w:sz w:val="24"/>
        </w:rPr>
        <w:t>整理可获得的试验数据，</w:t>
      </w:r>
      <w:r>
        <w:rPr>
          <w:rFonts w:ascii="Times New Roman" w:hAnsi="Times New Roman" w:eastAsia="宋体" w:cs="Times New Roman"/>
          <w:b/>
          <w:strike/>
          <w:color w:val="0000FF"/>
          <w:sz w:val="24"/>
        </w:rPr>
        <w:t>完成清洗、滤波和时间同步</w:t>
      </w:r>
      <w:r>
        <w:rPr>
          <w:rFonts w:ascii="Times New Roman" w:hAnsi="Times New Roman" w:eastAsia="宋体" w:cs="Times New Roman"/>
          <w:b w:val="0"/>
          <w:strike/>
          <w:sz w:val="24"/>
        </w:rPr>
        <w:t>，建立经独立工况验证的预测模型，</w:t>
      </w:r>
      <w:r>
        <w:rPr>
          <w:rFonts w:ascii="Times New Roman" w:hAnsi="Times New Roman" w:eastAsia="宋体" w:cs="Times New Roman"/>
          <w:b w:val="0"/>
          <w:sz w:val="24"/>
          <w:highlight w:val="yellow"/>
        </w:rPr>
        <w:t>完成试验数据处理与参数拟合，完成多种候选模型的横向对比评估，形成模型对比论证报告、数据处理程序及预测模型实现代码。</w:t>
      </w:r>
      <w:r>
        <w:rPr>
          <w:rFonts w:ascii="Times New Roman" w:hAnsi="Times New Roman" w:eastAsia="宋体" w:cs="Times New Roman"/>
          <w:b w:val="0"/>
          <w:strike/>
          <w:color w:val="0000FF"/>
          <w:sz w:val="24"/>
        </w:rPr>
        <w:t>提交</w:t>
      </w:r>
      <w:r>
        <w:rPr>
          <w:rFonts w:ascii="Times New Roman" w:hAnsi="Times New Roman" w:eastAsia="宋体" w:cs="Times New Roman"/>
          <w:b w:val="0"/>
          <w:strike/>
          <w:sz w:val="24"/>
        </w:rPr>
        <w:t>模型参数、数据处理程序及预测误差与计算耗时的</w:t>
      </w:r>
      <w:r>
        <w:rPr>
          <w:rFonts w:ascii="Times New Roman" w:hAnsi="Times New Roman" w:eastAsia="宋体" w:cs="Times New Roman"/>
          <w:b w:val="0"/>
          <w:strike/>
          <w:color w:val="0000FF"/>
          <w:sz w:val="24"/>
        </w:rPr>
        <w:t>定量对比结果</w:t>
      </w:r>
      <w:r>
        <w:rPr>
          <w:rFonts w:ascii="Times New Roman" w:hAnsi="Times New Roman" w:eastAsia="宋体" w:cs="Times New Roman"/>
          <w:b w:val="0"/>
          <w:strike/>
          <w:sz w:val="24"/>
        </w:rPr>
        <w:t>。</w:t>
      </w:r>
    </w:p>
    <w:p w14:paraId="27D0FFA0">
      <w:pPr>
        <w:spacing w:before="0" w:after="0" w:line="360" w:lineRule="auto"/>
        <w:ind w:firstLine="480" w:firstLineChars="200"/>
        <w:jc w:val="left"/>
      </w:pPr>
      <w:r/>
      <w:r>
        <w:rPr>
          <w:rFonts w:ascii="Times New Roman" w:hAnsi="Times New Roman" w:eastAsia="宋体" w:cs="Times New Roman"/>
          <w:b w:val="0"/>
          <w:sz w:val="24"/>
        </w:rPr>
        <w:t>（5）完成</w:t>
      </w:r>
      <w:r>
        <w:rPr>
          <w:rFonts w:ascii="Times New Roman" w:hAnsi="Times New Roman" w:eastAsia="宋体" w:cs="Times New Roman"/>
          <w:b w:val="0"/>
          <w:strike/>
          <w:sz w:val="24"/>
        </w:rPr>
        <w:t>含推力幅值与变化率约束的MPC控制器和分配算法实现，</w:t>
      </w:r>
      <w:r>
        <w:rPr>
          <w:rFonts w:ascii="Times New Roman" w:hAnsi="Times New Roman" w:eastAsia="宋体" w:cs="Times New Roman"/>
          <w:b w:val="0"/>
          <w:sz w:val="24"/>
          <w:highlight w:val="yellow"/>
        </w:rPr>
        <w:t>考虑推进器推力约束的模型预测控制算法设计，打通与PX4系统的控制接口，形成控制程序代码与配置文件。</w:t>
      </w:r>
      <w:r>
        <w:rPr>
          <w:rFonts w:ascii="Times New Roman" w:hAnsi="Times New Roman" w:eastAsia="宋体" w:cs="Times New Roman"/>
          <w:b/>
          <w:strike/>
          <w:color w:val="0000FF"/>
          <w:sz w:val="24"/>
        </w:rPr>
        <w:t>形成PX4控制接口程序及配置文件</w:t>
      </w:r>
      <w:r>
        <w:rPr>
          <w:rFonts w:ascii="Times New Roman" w:hAnsi="Times New Roman" w:eastAsia="宋体" w:cs="Times New Roman"/>
          <w:b w:val="0"/>
          <w:strike/>
          <w:sz w:val="24"/>
        </w:rPr>
        <w:t>，</w:t>
      </w:r>
      <w:r>
        <w:rPr>
          <w:rFonts w:ascii="Times New Roman" w:hAnsi="Times New Roman" w:eastAsia="宋体" w:cs="Times New Roman"/>
          <w:b/>
          <w:strike/>
          <w:color w:val="0000FF"/>
          <w:sz w:val="24"/>
        </w:rPr>
        <w:t>通过闭环试验分析</w:t>
      </w:r>
      <w:r>
        <w:rPr>
          <w:rFonts w:ascii="Times New Roman" w:hAnsi="Times New Roman" w:eastAsia="宋体" w:cs="Times New Roman"/>
          <w:b w:val="0"/>
          <w:strike/>
          <w:sz w:val="24"/>
        </w:rPr>
        <w:t>约束满足情况、跟踪稳定性与求解实时性。</w:t>
      </w:r>
    </w:p>
    <w:p w14:paraId="3CC7C4BF">
      <w:pPr>
        <w:spacing w:before="0" w:after="0" w:line="360" w:lineRule="auto"/>
        <w:ind w:firstLine="480" w:firstLineChars="200"/>
        <w:jc w:val="left"/>
      </w:pPr>
      <w:r/>
      <w:r>
        <w:rPr>
          <w:rFonts w:ascii="Times New Roman" w:hAnsi="Times New Roman" w:eastAsia="宋体" w:cs="Times New Roman"/>
          <w:b w:val="0"/>
          <w:sz w:val="24"/>
        </w:rPr>
        <w:t>（6）完成</w:t>
      </w:r>
      <w:r>
        <w:rPr>
          <w:rFonts w:ascii="Times New Roman" w:hAnsi="Times New Roman" w:eastAsia="宋体" w:cs="Times New Roman"/>
          <w:b/>
          <w:strike/>
          <w:color w:val="0000FF"/>
          <w:sz w:val="24"/>
        </w:rPr>
        <w:t>数值仿真</w:t>
      </w:r>
      <w:r>
        <w:rPr>
          <w:rFonts w:ascii="Times New Roman" w:hAnsi="Times New Roman" w:eastAsia="宋体" w:cs="Times New Roman"/>
          <w:b w:val="0"/>
          <w:sz w:val="24"/>
          <w:highlight w:val="yellow"/>
        </w:rPr>
        <w:t>系统仿真</w:t>
      </w:r>
      <w:r>
        <w:rPr>
          <w:rFonts w:ascii="Times New Roman" w:hAnsi="Times New Roman" w:eastAsia="宋体" w:cs="Times New Roman"/>
          <w:b w:val="0"/>
          <w:sz w:val="24"/>
        </w:rPr>
        <w:t>与PX4软件在环闭环测试，</w:t>
      </w:r>
      <w:r>
        <w:rPr>
          <w:rFonts w:ascii="Times New Roman" w:hAnsi="Times New Roman" w:eastAsia="宋体" w:cs="Times New Roman"/>
          <w:b w:val="0"/>
          <w:strike/>
          <w:sz w:val="24"/>
        </w:rPr>
        <w:t>设置多种轨迹和扰动工况，</w:t>
      </w:r>
      <w:r>
        <w:rPr>
          <w:rFonts w:ascii="Times New Roman" w:hAnsi="Times New Roman" w:eastAsia="宋体" w:cs="Times New Roman"/>
          <w:b w:val="0"/>
          <w:sz w:val="24"/>
          <w:highlight w:val="yellow"/>
        </w:rPr>
        <w:t>针对多种典型运动工况输出控制性能对比图表及分析报告；视水池试验条件拓展开展实物测试。</w:t>
      </w:r>
      <w:r>
        <w:rPr>
          <w:rFonts w:ascii="Times New Roman" w:hAnsi="Times New Roman" w:eastAsia="宋体" w:cs="Times New Roman"/>
          <w:b w:val="0"/>
          <w:strike/>
          <w:color w:val="0000FF"/>
          <w:sz w:val="24"/>
        </w:rPr>
        <w:t>提交</w:t>
      </w:r>
      <w:r>
        <w:rPr>
          <w:rFonts w:ascii="Times New Roman" w:hAnsi="Times New Roman" w:eastAsia="宋体" w:cs="Times New Roman"/>
          <w:b w:val="0"/>
          <w:strike/>
          <w:sz w:val="24"/>
        </w:rPr>
        <w:t>PID与MPC性能对比图表、运行日志和结果分析；</w:t>
      </w:r>
      <w:r>
        <w:rPr>
          <w:rFonts w:ascii="Times New Roman" w:hAnsi="Times New Roman" w:eastAsia="宋体" w:cs="Times New Roman"/>
          <w:b w:val="0"/>
          <w:strike/>
          <w:color w:val="0000FF"/>
          <w:sz w:val="24"/>
        </w:rPr>
        <w:t>具备条件时</w:t>
      </w:r>
      <w:r>
        <w:rPr>
          <w:rFonts w:ascii="Times New Roman" w:hAnsi="Times New Roman" w:eastAsia="宋体" w:cs="Times New Roman"/>
          <w:b w:val="0"/>
          <w:strike/>
          <w:sz w:val="24"/>
        </w:rPr>
        <w:t>完成水池验证，</w:t>
      </w:r>
      <w:r>
        <w:rPr>
          <w:rFonts w:ascii="Times New Roman" w:hAnsi="Times New Roman" w:eastAsia="宋体" w:cs="Times New Roman"/>
          <w:b w:val="0"/>
          <w:strike/>
          <w:color w:val="0000FF"/>
          <w:sz w:val="24"/>
        </w:rPr>
        <w:t>否则说明实物试验限制</w:t>
      </w:r>
      <w:r>
        <w:rPr>
          <w:rFonts w:ascii="Times New Roman" w:hAnsi="Times New Roman" w:eastAsia="宋体" w:cs="Times New Roman"/>
          <w:b w:val="0"/>
          <w:strike/>
          <w:sz w:val="24"/>
        </w:rPr>
        <w:t>。</w:t>
      </w:r>
    </w:p>
    <w:p w14:paraId="7EDCC420">
      <w:pPr>
        <w:spacing w:before="0" w:after="0" w:line="360" w:lineRule="auto"/>
        <w:ind w:firstLine="480" w:firstLineChars="200"/>
        <w:jc w:val="left"/>
      </w:pPr>
      <w:r>
        <w:rPr>
          <w:rFonts w:ascii="Times New Roman" w:hAnsi="Times New Roman" w:eastAsia="宋体" w:cs="Times New Roman"/>
          <w:b w:val="0"/>
          <w:sz w:val="24"/>
        </w:rPr>
        <w:t>（7）整理模型、程序、配置文件和测试数据，完成毕业论文撰写、修改、查重及毕业答辩。提交符合学校规范的毕业论文、开题报告、文献综述、源程序、PX4配置与接口说明、仿真模型及实验或仿真数据。</w:t>
      </w:r>
    </w:p>
    <w:permEnd w:id="19"/>
    <w:p w14:paraId="2015072B">
      <w:pPr>
        <w:spacing w:before="120" w:beforeLines="50" w:after="120" w:afterLines="50" w:line="360" w:lineRule="exact"/>
        <w:rPr>
          <w:rFonts w:hint="eastAsia" w:ascii="宋体" w:hAnsi="宋体"/>
          <w:sz w:val="24"/>
          <w:szCs w:val="24"/>
        </w:rPr>
      </w:pPr>
      <w:r>
        <w:rPr>
          <w:rFonts w:hint="eastAsia" w:ascii="黑体" w:hAnsi="宋体" w:eastAsia="黑体"/>
          <w:sz w:val="28"/>
        </w:rPr>
        <w:t>四、</w:t>
      </w:r>
      <w:permStart w:id="20" w:edGrp="everyone"/>
      <w:r>
        <w:rPr>
          <w:rFonts w:hint="eastAsia" w:ascii="黑体" w:eastAsia="黑体"/>
          <w:sz w:val="28"/>
        </w:rPr>
        <w:t>毕业设计（论文）</w:t>
      </w:r>
      <w:permEnd w:id="20"/>
      <w:r>
        <w:rPr>
          <w:rFonts w:ascii="黑体" w:hAnsi="宋体" w:eastAsia="黑体"/>
          <w:sz w:val="28"/>
        </w:rPr>
        <w:t>的进度安排</w:t>
      </w:r>
    </w:p>
    <w:p w14:paraId="61C0C30D">
      <w:pPr>
        <w:pStyle w:val="10"/>
        <w:ind w:firstLine="480"/>
        <w:rPr>
          <w:rFonts w:hint="eastAsia"/>
        </w:rPr>
      </w:pPr>
      <w:permStart w:id="21" w:edGrp="everyone"/>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
        <w:gridCol w:w="4637"/>
        <w:gridCol w:w="2906"/>
      </w:tblGrid>
      <w:tr w14:paraId="2A3AD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20" w:type="dxa"/>
          </w:tcPr>
          <w:p w14:paraId="0C9D463A">
            <w:pPr>
              <w:spacing w:before="40" w:after="40" w:line="276" w:lineRule="auto"/>
              <w:jc w:val="center"/>
            </w:pPr>
            <w:r>
              <w:rPr>
                <w:rFonts w:ascii="Times New Roman" w:hAnsi="Times New Roman" w:eastAsia="宋体" w:cs="Times New Roman"/>
                <w:b w:val="0"/>
                <w:sz w:val="21"/>
              </w:rPr>
              <w:t>序 号</w:t>
            </w:r>
          </w:p>
        </w:tc>
        <w:tc>
          <w:tcPr>
            <w:tcW w:w="4876" w:type="dxa"/>
          </w:tcPr>
          <w:p w14:paraId="1FA5223B">
            <w:pPr>
              <w:spacing w:before="40" w:after="40" w:line="276" w:lineRule="auto"/>
              <w:jc w:val="center"/>
            </w:pPr>
            <w:r>
              <w:rPr>
                <w:rFonts w:ascii="Times New Roman" w:hAnsi="Times New Roman" w:eastAsia="宋体" w:cs="Times New Roman"/>
                <w:b w:val="0"/>
                <w:sz w:val="21"/>
              </w:rPr>
              <w:t>论文各阶段名称</w:t>
            </w:r>
          </w:p>
        </w:tc>
        <w:tc>
          <w:tcPr>
            <w:tcW w:w="2948" w:type="dxa"/>
          </w:tcPr>
          <w:p w14:paraId="57626179">
            <w:pPr>
              <w:spacing w:before="40" w:after="40" w:line="276" w:lineRule="auto"/>
              <w:jc w:val="center"/>
            </w:pPr>
            <w:r>
              <w:rPr>
                <w:rFonts w:ascii="Times New Roman" w:hAnsi="Times New Roman" w:eastAsia="宋体" w:cs="Times New Roman"/>
                <w:b w:val="0"/>
                <w:sz w:val="21"/>
              </w:rPr>
              <w:t>时间安排（教学周）</w:t>
            </w:r>
          </w:p>
        </w:tc>
      </w:tr>
      <w:tr w14:paraId="4C775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09A4297B">
            <w:pPr>
              <w:spacing w:before="40" w:after="40" w:line="276" w:lineRule="auto"/>
              <w:jc w:val="center"/>
            </w:pPr>
            <w:r>
              <w:rPr>
                <w:rFonts w:ascii="Times New Roman" w:hAnsi="Times New Roman" w:eastAsia="宋体" w:cs="Times New Roman"/>
                <w:b w:val="0"/>
                <w:sz w:val="21"/>
              </w:rPr>
              <w:t>1</w:t>
            </w:r>
          </w:p>
        </w:tc>
        <w:tc>
          <w:tcPr>
            <w:tcW w:w="4876" w:type="dxa"/>
          </w:tcPr>
          <w:p w14:paraId="1A7AAF88">
            <w:pPr>
              <w:spacing w:before="40" w:after="40" w:line="276" w:lineRule="auto"/>
              <w:jc w:val="center"/>
            </w:pPr>
            <w:r>
              <w:rPr>
                <w:rFonts w:ascii="Times New Roman" w:hAnsi="Times New Roman" w:eastAsia="宋体" w:cs="Times New Roman"/>
                <w:b w:val="0"/>
                <w:sz w:val="21"/>
              </w:rPr>
              <w:t>课题申报、审核</w:t>
            </w:r>
          </w:p>
        </w:tc>
        <w:tc>
          <w:tcPr>
            <w:tcW w:w="2948" w:type="dxa"/>
          </w:tcPr>
          <w:p w14:paraId="36753EDB">
            <w:pPr>
              <w:spacing w:before="40" w:after="40" w:line="276" w:lineRule="auto"/>
              <w:jc w:val="center"/>
            </w:pPr>
            <w:r/>
            <w:r>
              <w:rPr>
                <w:rFonts w:ascii="Times New Roman" w:hAnsi="Times New Roman" w:eastAsia="宋体" w:cs="Times New Roman"/>
                <w:b w:val="0"/>
                <w:sz w:val="21"/>
              </w:rPr>
              <w:t>2026.7.13 ~ 2026.7.24 （第20 ~ 21周）</w:t>
            </w:r>
          </w:p>
        </w:tc>
      </w:tr>
      <w:tr w14:paraId="7A88C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40947B01">
            <w:pPr>
              <w:spacing w:before="40" w:after="40" w:line="276" w:lineRule="auto"/>
              <w:jc w:val="center"/>
            </w:pPr>
            <w:r>
              <w:rPr>
                <w:rFonts w:ascii="Times New Roman" w:hAnsi="Times New Roman" w:eastAsia="宋体" w:cs="Times New Roman"/>
                <w:b w:val="0"/>
                <w:sz w:val="21"/>
              </w:rPr>
              <w:t>2</w:t>
            </w:r>
          </w:p>
        </w:tc>
        <w:tc>
          <w:tcPr>
            <w:tcW w:w="4876" w:type="dxa"/>
          </w:tcPr>
          <w:p w14:paraId="7229DBB3">
            <w:pPr>
              <w:spacing w:before="40" w:after="40" w:line="276" w:lineRule="auto"/>
              <w:jc w:val="center"/>
            </w:pPr>
            <w:r>
              <w:rPr>
                <w:rFonts w:ascii="Times New Roman" w:hAnsi="Times New Roman" w:eastAsia="宋体" w:cs="Times New Roman"/>
                <w:b w:val="0"/>
                <w:sz w:val="21"/>
              </w:rPr>
              <w:t>学生选课、选题</w:t>
            </w:r>
          </w:p>
        </w:tc>
        <w:tc>
          <w:tcPr>
            <w:tcW w:w="2948" w:type="dxa"/>
          </w:tcPr>
          <w:p w14:paraId="5997DCBC">
            <w:pPr>
              <w:spacing w:before="40" w:after="40" w:line="276" w:lineRule="auto"/>
              <w:jc w:val="center"/>
            </w:pPr>
            <w:r/>
            <w:r>
              <w:rPr>
                <w:rFonts w:ascii="Times New Roman" w:hAnsi="Times New Roman" w:eastAsia="宋体" w:cs="Times New Roman"/>
                <w:b w:val="0"/>
                <w:sz w:val="21"/>
              </w:rPr>
              <w:t>2026.8.4 ~ 2026.8.7 （第23周）</w:t>
            </w:r>
          </w:p>
        </w:tc>
      </w:tr>
      <w:tr w14:paraId="1074A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558AEA8E">
            <w:pPr>
              <w:spacing w:before="40" w:after="40" w:line="276" w:lineRule="auto"/>
              <w:jc w:val="center"/>
            </w:pPr>
            <w:r>
              <w:rPr>
                <w:rFonts w:ascii="Times New Roman" w:hAnsi="Times New Roman" w:eastAsia="宋体" w:cs="Times New Roman"/>
                <w:b w:val="0"/>
                <w:sz w:val="21"/>
              </w:rPr>
              <w:t>3</w:t>
            </w:r>
          </w:p>
        </w:tc>
        <w:tc>
          <w:tcPr>
            <w:tcW w:w="4876" w:type="dxa"/>
          </w:tcPr>
          <w:p w14:paraId="4E4B3EF4">
            <w:pPr>
              <w:spacing w:before="40" w:after="40" w:line="276" w:lineRule="auto"/>
              <w:jc w:val="center"/>
            </w:pPr>
            <w:r>
              <w:rPr>
                <w:rFonts w:ascii="Times New Roman" w:hAnsi="Times New Roman" w:eastAsia="宋体" w:cs="Times New Roman"/>
                <w:b w:val="0"/>
                <w:sz w:val="21"/>
              </w:rPr>
              <w:t>下达任务书及任务书审核</w:t>
            </w:r>
          </w:p>
        </w:tc>
        <w:tc>
          <w:tcPr>
            <w:tcW w:w="2948" w:type="dxa"/>
          </w:tcPr>
          <w:p w14:paraId="77F09F8A">
            <w:pPr>
              <w:spacing w:before="40" w:after="40" w:line="276" w:lineRule="auto"/>
              <w:jc w:val="center"/>
            </w:pPr>
            <w:r/>
            <w:r>
              <w:rPr>
                <w:rFonts w:ascii="Times New Roman" w:hAnsi="Times New Roman" w:eastAsia="宋体" w:cs="Times New Roman"/>
                <w:b w:val="0"/>
                <w:sz w:val="21"/>
              </w:rPr>
              <w:t>2026.8.17 ~ 2026.8.21 （第25周）</w:t>
            </w:r>
          </w:p>
        </w:tc>
      </w:tr>
      <w:tr w14:paraId="1F9EF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7CB6C8BF">
            <w:pPr>
              <w:spacing w:before="40" w:after="40" w:line="276" w:lineRule="auto"/>
              <w:jc w:val="center"/>
            </w:pPr>
            <w:r>
              <w:rPr>
                <w:rFonts w:ascii="Times New Roman" w:hAnsi="Times New Roman" w:eastAsia="宋体" w:cs="Times New Roman"/>
                <w:b w:val="0"/>
                <w:sz w:val="21"/>
              </w:rPr>
              <w:t>4</w:t>
            </w:r>
          </w:p>
        </w:tc>
        <w:tc>
          <w:tcPr>
            <w:tcW w:w="4876" w:type="dxa"/>
          </w:tcPr>
          <w:p w14:paraId="3FF84CB3">
            <w:pPr>
              <w:spacing w:before="40" w:after="40" w:line="276" w:lineRule="auto"/>
              <w:jc w:val="center"/>
            </w:pPr>
            <w:r>
              <w:rPr>
                <w:rFonts w:ascii="Times New Roman" w:hAnsi="Times New Roman" w:eastAsia="宋体" w:cs="Times New Roman"/>
                <w:b w:val="0"/>
                <w:sz w:val="21"/>
              </w:rPr>
              <w:t>编写开题报告、开题答辩、提交开题报告、审核</w:t>
            </w:r>
          </w:p>
        </w:tc>
        <w:tc>
          <w:tcPr>
            <w:tcW w:w="2948" w:type="dxa"/>
          </w:tcPr>
          <w:p w14:paraId="62322BE9">
            <w:pPr>
              <w:spacing w:before="40" w:after="40" w:line="276" w:lineRule="auto"/>
              <w:jc w:val="center"/>
            </w:pPr>
            <w:r/>
            <w:r>
              <w:rPr>
                <w:rFonts w:ascii="Times New Roman" w:hAnsi="Times New Roman" w:eastAsia="宋体" w:cs="Times New Roman"/>
                <w:b w:val="0"/>
                <w:sz w:val="21"/>
              </w:rPr>
              <w:t>2026.9.16 ~ 2026.10.9 （第1 ~ 4周）</w:t>
            </w:r>
          </w:p>
        </w:tc>
      </w:tr>
      <w:tr w14:paraId="096FD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632B024D">
            <w:pPr>
              <w:spacing w:before="40" w:after="40" w:line="276" w:lineRule="auto"/>
              <w:jc w:val="center"/>
            </w:pPr>
            <w:r>
              <w:rPr>
                <w:rFonts w:ascii="Times New Roman" w:hAnsi="Times New Roman" w:eastAsia="宋体" w:cs="Times New Roman"/>
                <w:b w:val="0"/>
                <w:sz w:val="21"/>
              </w:rPr>
              <w:t>5</w:t>
            </w:r>
          </w:p>
        </w:tc>
        <w:tc>
          <w:tcPr>
            <w:tcW w:w="4876" w:type="dxa"/>
          </w:tcPr>
          <w:p w14:paraId="08955A4D">
            <w:pPr>
              <w:spacing w:before="40" w:after="40" w:line="276" w:lineRule="auto"/>
              <w:jc w:val="center"/>
            </w:pPr>
            <w:r/>
            <w:r>
              <w:rPr>
                <w:rFonts w:ascii="Times New Roman" w:hAnsi="Times New Roman" w:eastAsia="宋体" w:cs="Times New Roman"/>
                <w:b w:val="0"/>
                <w:sz w:val="24"/>
              </w:rPr>
              <w:t>六自由度动力学建模</w:t>
            </w:r>
            <w:r>
              <w:rPr>
                <w:rFonts w:ascii="Times New Roman" w:hAnsi="Times New Roman" w:eastAsia="宋体" w:cs="Times New Roman"/>
                <w:b w:val="0"/>
                <w:strike/>
                <w:sz w:val="24"/>
              </w:rPr>
              <w:t>、推力配置与PX4接口分析</w:t>
            </w:r>
            <w:r>
              <w:rPr>
                <w:rFonts w:ascii="Times New Roman" w:hAnsi="Times New Roman" w:eastAsia="宋体" w:cs="Times New Roman"/>
                <w:b w:val="0"/>
                <w:sz w:val="24"/>
                <w:highlight w:val="yellow"/>
              </w:rPr>
              <w:t>与空间推力布局分析</w:t>
            </w:r>
          </w:p>
        </w:tc>
        <w:tc>
          <w:tcPr>
            <w:tcW w:w="2948" w:type="dxa"/>
          </w:tcPr>
          <w:p w14:paraId="54C05F6E">
            <w:pPr>
              <w:spacing w:before="40" w:after="40" w:line="276" w:lineRule="auto"/>
              <w:jc w:val="center"/>
            </w:pPr>
            <w:r/>
            <w:r>
              <w:rPr>
                <w:rFonts w:ascii="Times New Roman" w:hAnsi="Times New Roman" w:eastAsia="宋体" w:cs="Times New Roman"/>
                <w:b w:val="0"/>
                <w:sz w:val="21"/>
              </w:rPr>
              <w:t>2026.10.12 ~ 2026.11.20 （第 5 ~ 10 周）</w:t>
            </w:r>
          </w:p>
        </w:tc>
      </w:tr>
      <w:tr w14:paraId="7F2C4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1375A4C1">
            <w:pPr>
              <w:spacing w:before="40" w:after="40" w:line="276" w:lineRule="auto"/>
              <w:jc w:val="center"/>
            </w:pPr>
            <w:r>
              <w:rPr>
                <w:rFonts w:ascii="Times New Roman" w:hAnsi="Times New Roman" w:eastAsia="宋体" w:cs="Times New Roman"/>
                <w:b w:val="0"/>
                <w:sz w:val="21"/>
              </w:rPr>
              <w:t>6</w:t>
            </w:r>
          </w:p>
        </w:tc>
        <w:tc>
          <w:tcPr>
            <w:tcW w:w="4876" w:type="dxa"/>
          </w:tcPr>
          <w:p w14:paraId="6ED90325">
            <w:pPr>
              <w:spacing w:before="40" w:after="40" w:line="276" w:lineRule="auto"/>
              <w:jc w:val="center"/>
            </w:pPr>
            <w:r/>
            <w:r>
              <w:rPr>
                <w:rFonts w:ascii="Times New Roman" w:hAnsi="Times New Roman" w:eastAsia="宋体" w:cs="Times New Roman"/>
                <w:b w:val="0"/>
                <w:strike/>
                <w:color w:val="0000FF"/>
                <w:sz w:val="24"/>
              </w:rPr>
              <w:t>试验数据处理、</w:t>
            </w:r>
            <w:r>
              <w:rPr>
                <w:rFonts w:ascii="Times New Roman" w:hAnsi="Times New Roman" w:eastAsia="宋体" w:cs="Times New Roman"/>
                <w:b w:val="0"/>
                <w:strike/>
                <w:color w:val="0000FF"/>
                <w:sz w:val="24"/>
              </w:rPr>
              <w:t>水动力辨识</w:t>
            </w:r>
            <w:r>
              <w:rPr>
                <w:rFonts w:ascii="Times New Roman" w:hAnsi="Times New Roman" w:eastAsia="宋体" w:cs="Times New Roman"/>
                <w:b w:val="0"/>
                <w:strike/>
                <w:sz w:val="24"/>
              </w:rPr>
              <w:t>与预测模型</w:t>
            </w:r>
            <w:r>
              <w:rPr>
                <w:rFonts w:ascii="Times New Roman" w:hAnsi="Times New Roman" w:eastAsia="宋体" w:cs="Times New Roman"/>
                <w:b w:val="0"/>
                <w:strike/>
                <w:sz w:val="24"/>
              </w:rPr>
              <w:t>选取</w:t>
            </w:r>
            <w:r>
              <w:rPr>
                <w:rFonts w:ascii="Times New Roman" w:hAnsi="Times New Roman" w:eastAsia="宋体" w:cs="Times New Roman"/>
                <w:b w:val="0"/>
                <w:sz w:val="24"/>
                <w:highlight w:val="yellow"/>
              </w:rPr>
              <w:t>试验数据处理、动力学建模与预测模型比选</w:t>
            </w:r>
          </w:p>
        </w:tc>
        <w:tc>
          <w:tcPr>
            <w:tcW w:w="2948" w:type="dxa"/>
          </w:tcPr>
          <w:p w14:paraId="59C98237">
            <w:pPr>
              <w:spacing w:before="40" w:after="40" w:line="276" w:lineRule="auto"/>
              <w:jc w:val="center"/>
            </w:pPr>
            <w:r/>
            <w:r>
              <w:rPr>
                <w:rFonts w:ascii="Times New Roman" w:hAnsi="Times New Roman" w:eastAsia="宋体" w:cs="Times New Roman"/>
                <w:b w:val="0"/>
                <w:sz w:val="21"/>
              </w:rPr>
              <w:t>2026.11.23 ~ 2026.12.25 （第 11 ~ 15 周）</w:t>
            </w:r>
          </w:p>
        </w:tc>
      </w:tr>
      <w:tr w14:paraId="5D1F7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13459FE9">
            <w:pPr>
              <w:spacing w:before="40" w:after="40" w:line="276" w:lineRule="auto"/>
              <w:jc w:val="center"/>
            </w:pPr>
            <w:r>
              <w:rPr>
                <w:rFonts w:ascii="Times New Roman" w:hAnsi="Times New Roman" w:eastAsia="宋体" w:cs="Times New Roman"/>
                <w:b w:val="0"/>
                <w:sz w:val="21"/>
              </w:rPr>
              <w:t>7</w:t>
            </w:r>
          </w:p>
        </w:tc>
        <w:tc>
          <w:tcPr>
            <w:tcW w:w="4876" w:type="dxa"/>
          </w:tcPr>
          <w:p w14:paraId="061B0B0D">
            <w:pPr>
              <w:spacing w:before="40" w:after="40" w:line="276" w:lineRule="auto"/>
              <w:jc w:val="center"/>
            </w:pPr>
            <w:r>
              <w:rPr>
                <w:rFonts w:ascii="Times New Roman" w:hAnsi="Times New Roman" w:eastAsia="宋体" w:cs="Times New Roman"/>
                <w:b w:val="0"/>
                <w:sz w:val="21"/>
              </w:rPr>
              <w:t>中期检查及中期答辩</w:t>
            </w:r>
          </w:p>
        </w:tc>
        <w:tc>
          <w:tcPr>
            <w:tcW w:w="2948" w:type="dxa"/>
          </w:tcPr>
          <w:p w14:paraId="4D8B9751">
            <w:pPr>
              <w:spacing w:before="40" w:after="40" w:line="276" w:lineRule="auto"/>
              <w:jc w:val="center"/>
            </w:pPr>
            <w:r/>
            <w:r>
              <w:rPr>
                <w:rFonts w:ascii="Times New Roman" w:hAnsi="Times New Roman" w:eastAsia="宋体" w:cs="Times New Roman"/>
                <w:b w:val="0"/>
                <w:sz w:val="21"/>
              </w:rPr>
              <w:t>2026.12.28 ~ 2027.1.15 （第16 ~ 18周）</w:t>
            </w:r>
          </w:p>
        </w:tc>
      </w:tr>
      <w:tr w14:paraId="4569F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4E54BAE1">
            <w:pPr>
              <w:spacing w:before="40" w:after="40" w:line="276" w:lineRule="auto"/>
              <w:jc w:val="center"/>
            </w:pPr>
            <w:r>
              <w:rPr>
                <w:rFonts w:ascii="Times New Roman" w:hAnsi="Times New Roman" w:eastAsia="宋体" w:cs="Times New Roman"/>
                <w:b w:val="0"/>
                <w:sz w:val="21"/>
              </w:rPr>
              <w:t>8</w:t>
            </w:r>
          </w:p>
        </w:tc>
        <w:tc>
          <w:tcPr>
            <w:tcW w:w="4876" w:type="dxa"/>
          </w:tcPr>
          <w:p w14:paraId="1EDC9EB5">
            <w:pPr>
              <w:spacing w:before="40" w:after="40" w:line="276" w:lineRule="auto"/>
              <w:jc w:val="center"/>
            </w:pPr>
            <w:r>
              <w:rPr>
                <w:rFonts w:ascii="Times New Roman" w:hAnsi="Times New Roman" w:eastAsia="宋体" w:cs="Times New Roman"/>
                <w:b w:val="0"/>
                <w:sz w:val="21"/>
              </w:rPr>
              <w:t>约束MPC与PX4控制接口实现</w:t>
            </w:r>
          </w:p>
        </w:tc>
        <w:tc>
          <w:tcPr>
            <w:tcW w:w="2948" w:type="dxa"/>
          </w:tcPr>
          <w:p w14:paraId="5382E360">
            <w:pPr>
              <w:spacing w:before="40" w:after="40" w:line="276" w:lineRule="auto"/>
              <w:jc w:val="center"/>
            </w:pPr>
            <w:r/>
            <w:r>
              <w:rPr>
                <w:rFonts w:ascii="Times New Roman" w:hAnsi="Times New Roman" w:eastAsia="宋体" w:cs="Times New Roman"/>
                <w:b w:val="0"/>
                <w:sz w:val="21"/>
              </w:rPr>
              <w:t>2027.2.22 ~ 2027.3.12 （第1 ~ 3周）</w:t>
            </w:r>
          </w:p>
        </w:tc>
      </w:tr>
      <w:tr w14:paraId="01165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2F9DFEC7">
            <w:pPr>
              <w:spacing w:before="40" w:after="40" w:line="276" w:lineRule="auto"/>
              <w:jc w:val="center"/>
            </w:pPr>
            <w:r>
              <w:rPr>
                <w:rFonts w:ascii="Times New Roman" w:hAnsi="Times New Roman" w:eastAsia="宋体" w:cs="Times New Roman"/>
                <w:b w:val="0"/>
                <w:sz w:val="21"/>
              </w:rPr>
              <w:t>9</w:t>
            </w:r>
          </w:p>
        </w:tc>
        <w:tc>
          <w:tcPr>
            <w:tcW w:w="4876" w:type="dxa"/>
          </w:tcPr>
          <w:p w14:paraId="49394674">
            <w:pPr>
              <w:spacing w:before="40" w:after="40" w:line="276" w:lineRule="auto"/>
              <w:jc w:val="center"/>
            </w:pPr>
            <w:r>
              <w:rPr>
                <w:rFonts w:ascii="Times New Roman" w:hAnsi="Times New Roman" w:eastAsia="宋体" w:cs="Times New Roman"/>
                <w:b w:val="0"/>
                <w:sz w:val="21"/>
              </w:rPr>
              <w:t>PX4闭环仿真与有条件水池验证</w:t>
            </w:r>
          </w:p>
        </w:tc>
        <w:tc>
          <w:tcPr>
            <w:tcW w:w="2948" w:type="dxa"/>
          </w:tcPr>
          <w:p w14:paraId="652CD84B">
            <w:pPr>
              <w:spacing w:before="40" w:after="40" w:line="276" w:lineRule="auto"/>
              <w:jc w:val="center"/>
            </w:pPr>
            <w:r/>
            <w:r>
              <w:rPr>
                <w:rFonts w:ascii="Times New Roman" w:hAnsi="Times New Roman" w:eastAsia="宋体" w:cs="Times New Roman"/>
                <w:b w:val="0"/>
                <w:sz w:val="21"/>
              </w:rPr>
              <w:t>2027.3.15 ~ 2027.4.2 （第4 ~ 6周）</w:t>
            </w:r>
          </w:p>
        </w:tc>
      </w:tr>
      <w:tr w14:paraId="53154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171D3077">
            <w:pPr>
              <w:spacing w:before="40" w:after="40" w:line="276" w:lineRule="auto"/>
              <w:jc w:val="center"/>
            </w:pPr>
            <w:r>
              <w:rPr>
                <w:rFonts w:ascii="Times New Roman" w:hAnsi="Times New Roman" w:eastAsia="宋体" w:cs="Times New Roman"/>
                <w:b w:val="0"/>
                <w:sz w:val="21"/>
              </w:rPr>
              <w:t>10</w:t>
            </w:r>
          </w:p>
        </w:tc>
        <w:tc>
          <w:tcPr>
            <w:tcW w:w="4876" w:type="dxa"/>
          </w:tcPr>
          <w:p w14:paraId="6B5A82D4">
            <w:pPr>
              <w:spacing w:before="40" w:after="40" w:line="276" w:lineRule="auto"/>
              <w:jc w:val="center"/>
            </w:pPr>
            <w:r>
              <w:rPr>
                <w:rFonts w:ascii="Times New Roman" w:hAnsi="Times New Roman" w:eastAsia="宋体" w:cs="Times New Roman"/>
                <w:b w:val="0"/>
                <w:sz w:val="21"/>
              </w:rPr>
              <w:t>毕业论文撰写与图表整理</w:t>
            </w:r>
          </w:p>
        </w:tc>
        <w:tc>
          <w:tcPr>
            <w:tcW w:w="2948" w:type="dxa"/>
          </w:tcPr>
          <w:p w14:paraId="0C8D678C">
            <w:pPr>
              <w:spacing w:before="40" w:after="40" w:line="276" w:lineRule="auto"/>
              <w:jc w:val="center"/>
            </w:pPr>
            <w:r/>
            <w:r>
              <w:rPr>
                <w:rFonts w:ascii="Times New Roman" w:hAnsi="Times New Roman" w:eastAsia="宋体" w:cs="Times New Roman"/>
                <w:b w:val="0"/>
                <w:sz w:val="21"/>
              </w:rPr>
              <w:t>2027.4.5 ~ 2027.4.16 （第7 ~ 8周）</w:t>
            </w:r>
          </w:p>
        </w:tc>
      </w:tr>
      <w:tr w14:paraId="40483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473E7DF7">
            <w:pPr>
              <w:spacing w:before="40" w:after="40" w:line="276" w:lineRule="auto"/>
              <w:jc w:val="center"/>
            </w:pPr>
            <w:r>
              <w:rPr>
                <w:rFonts w:ascii="Times New Roman" w:hAnsi="Times New Roman" w:eastAsia="宋体" w:cs="Times New Roman"/>
                <w:b w:val="0"/>
                <w:sz w:val="21"/>
              </w:rPr>
              <w:t>11</w:t>
            </w:r>
          </w:p>
        </w:tc>
        <w:tc>
          <w:tcPr>
            <w:tcW w:w="4876" w:type="dxa"/>
          </w:tcPr>
          <w:p w14:paraId="7E4884FE">
            <w:pPr>
              <w:spacing w:before="40" w:after="40" w:line="276" w:lineRule="auto"/>
              <w:jc w:val="center"/>
            </w:pPr>
            <w:r>
              <w:rPr>
                <w:rFonts w:ascii="Times New Roman" w:hAnsi="Times New Roman" w:eastAsia="宋体" w:cs="Times New Roman"/>
                <w:b w:val="0"/>
                <w:sz w:val="21"/>
              </w:rPr>
              <w:t>论文查重、导师评阅、专家评阅、学生修改完善论文并定稿、毕业答辩</w:t>
            </w:r>
          </w:p>
        </w:tc>
        <w:tc>
          <w:tcPr>
            <w:tcW w:w="2948" w:type="dxa"/>
          </w:tcPr>
          <w:p w14:paraId="051C1369">
            <w:pPr>
              <w:spacing w:before="40" w:after="40" w:line="276" w:lineRule="auto"/>
              <w:jc w:val="center"/>
            </w:pPr>
            <w:r/>
            <w:r>
              <w:rPr>
                <w:rFonts w:ascii="Times New Roman" w:hAnsi="Times New Roman" w:eastAsia="宋体" w:cs="Times New Roman"/>
                <w:b w:val="0"/>
                <w:sz w:val="21"/>
              </w:rPr>
              <w:t>2027.4.19 ~ 2027.4.28 （第9 ~ 10周）</w:t>
            </w:r>
          </w:p>
        </w:tc>
      </w:tr>
      <w:tr w14:paraId="6F73C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4F1211D9">
            <w:pPr>
              <w:spacing w:before="40" w:after="40" w:line="276" w:lineRule="auto"/>
              <w:jc w:val="center"/>
            </w:pPr>
            <w:r>
              <w:rPr>
                <w:rFonts w:ascii="Times New Roman" w:hAnsi="Times New Roman" w:eastAsia="宋体" w:cs="Times New Roman"/>
                <w:b w:val="0"/>
                <w:sz w:val="21"/>
              </w:rPr>
              <w:t>12</w:t>
            </w:r>
          </w:p>
        </w:tc>
        <w:tc>
          <w:tcPr>
            <w:tcW w:w="4876" w:type="dxa"/>
          </w:tcPr>
          <w:p w14:paraId="47023A83">
            <w:pPr>
              <w:spacing w:before="40" w:after="40" w:line="276" w:lineRule="auto"/>
              <w:jc w:val="center"/>
            </w:pPr>
            <w:r>
              <w:rPr>
                <w:rFonts w:ascii="Times New Roman" w:hAnsi="Times New Roman" w:eastAsia="宋体" w:cs="Times New Roman"/>
                <w:b w:val="0"/>
                <w:sz w:val="21"/>
              </w:rPr>
              <w:t>论文评优、论文各类资料（书面版和电子版）整理、归档</w:t>
            </w:r>
          </w:p>
        </w:tc>
        <w:tc>
          <w:tcPr>
            <w:tcW w:w="2948" w:type="dxa"/>
          </w:tcPr>
          <w:p w14:paraId="14D9C039">
            <w:pPr>
              <w:spacing w:before="40" w:after="40" w:line="276" w:lineRule="auto"/>
              <w:jc w:val="center"/>
            </w:pPr>
            <w:r/>
            <w:r>
              <w:rPr>
                <w:rFonts w:ascii="Times New Roman" w:hAnsi="Times New Roman" w:eastAsia="宋体" w:cs="Times New Roman"/>
                <w:b w:val="0"/>
                <w:sz w:val="21"/>
              </w:rPr>
              <w:t>2027.5.3 ~ 2027.5.14 （第11 ~ 12周）</w:t>
            </w:r>
          </w:p>
        </w:tc>
      </w:tr>
      <w:permEnd w:id="21"/>
    </w:tbl>
    <w:p w14:paraId="335EEBD7">
      <w:pPr>
        <w:spacing w:before="120" w:beforeLines="50" w:after="120" w:afterLines="50" w:line="360" w:lineRule="exact"/>
        <w:rPr>
          <w:rFonts w:hint="eastAsia" w:ascii="黑体" w:hAnsi="宋体" w:eastAsia="黑体"/>
          <w:sz w:val="28"/>
        </w:rPr>
      </w:pPr>
      <w:r>
        <w:rPr>
          <w:rFonts w:hint="eastAsia" w:ascii="黑体" w:hAnsi="宋体" w:eastAsia="黑体"/>
          <w:sz w:val="28"/>
        </w:rPr>
        <w:t>五</w:t>
      </w:r>
      <w:r>
        <w:rPr>
          <w:rFonts w:ascii="黑体" w:hAnsi="宋体" w:eastAsia="黑体"/>
          <w:sz w:val="28"/>
        </w:rPr>
        <w:t>、</w:t>
      </w:r>
      <w:permStart w:id="22" w:edGrp="everyone"/>
      <w:r>
        <w:rPr>
          <w:rFonts w:hint="eastAsia" w:ascii="黑体" w:eastAsia="黑体"/>
          <w:sz w:val="28"/>
        </w:rPr>
        <w:t>毕业设计（论文）</w:t>
      </w:r>
      <w:permEnd w:id="22"/>
      <w:r>
        <w:rPr>
          <w:rFonts w:ascii="黑体" w:hAnsi="宋体" w:eastAsia="黑体"/>
          <w:sz w:val="28"/>
        </w:rPr>
        <w:t>应收集的资料及主要参考文献</w:t>
      </w:r>
    </w:p>
    <w:p w14:paraId="23AD1191">
      <w:pPr>
        <w:pStyle w:val="10"/>
        <w:spacing w:line="360" w:lineRule="auto"/>
        <w:ind w:firstLine="480"/>
        <w:jc w:val="left"/>
      </w:pPr>
      <w:r/>
      <w:r>
        <w:rPr>
          <w:rFonts w:ascii="Times New Roman" w:hAnsi="Times New Roman" w:eastAsia="宋体" w:cs="Times New Roman"/>
          <w:b w:val="0"/>
          <w:strike/>
          <w:color w:val="0000FF"/>
          <w:sz w:val="24"/>
        </w:rPr>
        <w:t>应收集的资料包括：PX4水下机型与控制分配文档、推进器安装及标定参数、传感器与试验记录、控制日志以及用于模型和算法验证的仿真数据。</w:t>
      </w:r>
    </w:p>
    <w:p w14:paraId="5B8A7763">
      <w:pPr>
        <w:pStyle w:val="10"/>
        <w:keepLines/>
        <w:spacing w:before="0" w:after="0" w:line="360" w:lineRule="auto"/>
        <w:ind w:left="420" w:hanging="420"/>
        <w:jc w:val="left"/>
      </w:pPr>
      <w:permStart w:id="23" w:edGrp="everyone"/>
      <w:r>
        <w:rPr>
          <w:rFonts w:ascii="Times New Roman" w:hAnsi="Times New Roman" w:eastAsia="宋体" w:cs="Times New Roman"/>
          <w:b w:val="0"/>
          <w:sz w:val="24"/>
        </w:rPr>
        <w:t>[1]  Fossen T I. H</w:t>
      </w:r>
      <w:bookmarkStart w:id="0" w:name="_GoBack"/>
      <w:bookmarkEnd w:id="0"/>
      <w:r>
        <w:rPr>
          <w:rFonts w:ascii="Times New Roman" w:hAnsi="Times New Roman" w:eastAsia="宋体" w:cs="Times New Roman"/>
          <w:b w:val="0"/>
          <w:sz w:val="24"/>
        </w:rPr>
        <w:t>andbook of Marine Craft Hydrodynamics and Motion Control[M]. 2nd ed. Chichester, UK: John Wiley &amp; Sons, 2021.</w:t>
      </w:r>
    </w:p>
    <w:p w14:paraId="7A838F3E">
      <w:pPr>
        <w:pStyle w:val="10"/>
        <w:keepLines/>
        <w:spacing w:before="0" w:after="0" w:line="360" w:lineRule="auto"/>
        <w:ind w:left="420" w:hanging="420"/>
        <w:jc w:val="left"/>
      </w:pPr>
      <w:r>
        <w:rPr>
          <w:rFonts w:ascii="Times New Roman" w:hAnsi="Times New Roman" w:eastAsia="宋体" w:cs="Times New Roman"/>
          <w:b w:val="0"/>
          <w:sz w:val="24"/>
        </w:rPr>
        <w:t>[2]  严浙平, 周佳加. 水下无人航行器控制技术[M]. 北京: 国防工业出版社, 2015.</w:t>
      </w:r>
    </w:p>
    <w:p w14:paraId="3D7F38F3">
      <w:pPr>
        <w:pStyle w:val="10"/>
        <w:keepLines/>
        <w:spacing w:before="0" w:after="0" w:line="360" w:lineRule="auto"/>
        <w:ind w:left="420" w:hanging="420"/>
        <w:jc w:val="left"/>
      </w:pPr>
      <w:r>
        <w:rPr>
          <w:rFonts w:ascii="Times New Roman" w:hAnsi="Times New Roman" w:eastAsia="宋体" w:cs="Times New Roman"/>
          <w:b w:val="0"/>
          <w:sz w:val="24"/>
        </w:rPr>
        <w:t>[3]  Caccia M, Indiveri G, Veruggio G. Modeling and identification of open-frame variable configuration unmanned underwater vehicles[J]. IEEE Journal of Oceanic Engineering, 2000, 25(2): 227-240.</w:t>
      </w:r>
    </w:p>
    <w:p w14:paraId="49FD67F4">
      <w:pPr>
        <w:pStyle w:val="10"/>
        <w:keepLines/>
        <w:spacing w:before="0" w:after="0" w:line="360" w:lineRule="auto"/>
        <w:ind w:left="420" w:hanging="420"/>
        <w:jc w:val="left"/>
      </w:pPr>
      <w:r>
        <w:rPr>
          <w:rFonts w:ascii="Times New Roman" w:hAnsi="Times New Roman" w:eastAsia="宋体" w:cs="Times New Roman"/>
          <w:b w:val="0"/>
          <w:sz w:val="24"/>
        </w:rPr>
        <w:t>[4]  Heshmati-Alamdari S, Karras G C, Marantos P, et al. A robust model predictive control approach for autonomous underwater vehicles operating in a constrained workspace[C]//2018 IEEE International Conference on Robotics and Automation (ICRA). IEEE, 2018. DOI: 10.1109/ICRA.2018.8460918.</w:t>
      </w:r>
    </w:p>
    <w:p w14:paraId="2732B163">
      <w:pPr>
        <w:pStyle w:val="10"/>
        <w:keepLines/>
        <w:spacing w:before="0" w:after="0" w:line="360" w:lineRule="auto"/>
        <w:ind w:left="420" w:hanging="420"/>
        <w:jc w:val="left"/>
      </w:pPr>
      <w:r>
        <w:rPr>
          <w:rFonts w:ascii="Times New Roman" w:hAnsi="Times New Roman" w:eastAsia="宋体" w:cs="Times New Roman"/>
          <w:b w:val="0"/>
          <w:sz w:val="24"/>
        </w:rPr>
        <w:t>[5]  Smallwood D A, Whitcomb L L. Model-based dynamic positioning of underwater robotic vehicles: Theory and experiment[J]. IEEE Journal of Oceanic Engineering, 2004, 29(1): 169-186.</w:t>
      </w:r>
    </w:p>
    <w:p w14:paraId="76337EE9">
      <w:pPr>
        <w:pStyle w:val="10"/>
        <w:keepLines/>
        <w:spacing w:before="0" w:after="0" w:line="360" w:lineRule="auto"/>
        <w:ind w:left="420" w:hanging="420"/>
        <w:jc w:val="left"/>
      </w:pPr>
      <w:r>
        <w:rPr>
          <w:rFonts w:ascii="Times New Roman" w:hAnsi="Times New Roman" w:eastAsia="宋体" w:cs="Times New Roman"/>
          <w:b w:val="0"/>
          <w:sz w:val="24"/>
        </w:rPr>
        <w:t>[6]  Johansen T A, Fossen T I. Control allocation: A survey[J]. Automatica, 2013, 49(5): 1087-1103.</w:t>
      </w:r>
    </w:p>
    <w:p w14:paraId="57500ED8">
      <w:pPr>
        <w:pStyle w:val="10"/>
        <w:keepLines/>
        <w:spacing w:before="0" w:after="0" w:line="360" w:lineRule="auto"/>
        <w:ind w:left="420" w:hanging="420"/>
        <w:jc w:val="left"/>
      </w:pPr>
      <w:r>
        <w:rPr>
          <w:rFonts w:ascii="Times New Roman" w:hAnsi="Times New Roman" w:eastAsia="宋体" w:cs="Times New Roman"/>
          <w:b w:val="0"/>
          <w:sz w:val="24"/>
        </w:rPr>
        <w:t>[7]  Torrente G, Kaufmann E, Föhn P, et al. Data-driven MPC for quadrotors[J]. IEEE Transactions on Control Systems Technology, 2021, 29(4): 1599-1613.</w:t>
      </w:r>
    </w:p>
    <w:p w14:paraId="5327D966">
      <w:pPr>
        <w:pStyle w:val="10"/>
        <w:keepLines/>
        <w:spacing w:before="0" w:after="0" w:line="360" w:lineRule="auto"/>
        <w:ind w:left="420" w:hanging="420"/>
        <w:jc w:val="left"/>
      </w:pPr>
      <w:r>
        <w:rPr>
          <w:rFonts w:ascii="Times New Roman" w:hAnsi="Times New Roman" w:eastAsia="宋体" w:cs="Times New Roman"/>
          <w:b w:val="0"/>
          <w:sz w:val="24"/>
        </w:rPr>
        <w:t>[8]  Chu Z, Zhu D, Yang S X. Observer-based adaptive sliding mode trajectory tracking control for autonomous underwater vehicles with input saturation[J]. ISA Transactions, 2020, 100: 28-40.</w:t>
      </w:r>
    </w:p>
    <w:p w14:paraId="75E5607F">
      <w:pPr>
        <w:pStyle w:val="10"/>
        <w:keepLines/>
        <w:spacing w:before="0" w:after="0" w:line="360" w:lineRule="auto"/>
        <w:ind w:left="420" w:hanging="420"/>
        <w:jc w:val="left"/>
      </w:pPr>
      <w:r>
        <w:rPr>
          <w:rFonts w:ascii="Times New Roman" w:hAnsi="Times New Roman" w:eastAsia="宋体" w:cs="Times New Roman"/>
          <w:b w:val="0"/>
          <w:sz w:val="24"/>
        </w:rPr>
        <w:t>[9]  孙功武, 苏义鑫, 毛英, 等. 基于模糊逻辑的混合推进ROV多级推力分配策略[J]. 机器人, 2023, 45(4): 472-482.</w:t>
      </w:r>
    </w:p>
    <w:p w14:paraId="429C64A7">
      <w:pPr>
        <w:pStyle w:val="10"/>
        <w:keepLines/>
        <w:spacing w:before="0" w:after="0" w:line="360" w:lineRule="auto"/>
        <w:ind w:left="420" w:hanging="420"/>
        <w:jc w:val="left"/>
      </w:pPr>
      <w:r>
        <w:rPr>
          <w:rFonts w:ascii="Times New Roman" w:hAnsi="Times New Roman" w:eastAsia="宋体" w:cs="Times New Roman"/>
          <w:b w:val="0"/>
          <w:sz w:val="24"/>
        </w:rPr>
        <w:t>[10]  Meier L, Honegger D, Pollefeys M. PX4: A node-based multithreaded open source robotics framework for deeply embedded platforms[C]//2015 IEEE International Conference on Robotics and Automation (ICRA). Seattle, WA: IEEE, 2015: 6235-6240.</w:t>
      </w:r>
    </w:p>
    <w:p w14:paraId="11159FC4">
      <w:pPr>
        <w:pStyle w:val="10"/>
        <w:keepLines/>
        <w:spacing w:line="360" w:lineRule="auto"/>
        <w:ind w:left="420" w:hanging="420"/>
        <w:jc w:val="left"/>
      </w:pPr>
      <w:r>
        <w:rPr>
          <w:rFonts w:ascii="Times New Roman" w:hAnsi="Times New Roman" w:eastAsia="宋体" w:cs="Times New Roman"/>
          <w:b w:val="0"/>
          <w:sz w:val="24"/>
        </w:rPr>
        <w:t>[11]  PX4 Development Team. Submarines (Unmanned Underwater Vehicles - UUV)[EB/OL]. PX4 Guide. https://docs.px4.io/main/en/frames_sub/ (访问日期: 2026-10-09).</w:t>
      </w:r>
    </w:p>
    <w:p w14:paraId="3318C802">
      <w:pPr>
        <w:pStyle w:val="10"/>
        <w:keepLines/>
        <w:spacing w:line="360" w:lineRule="auto"/>
        <w:ind w:left="420" w:hanging="420"/>
        <w:jc w:val="left"/>
      </w:pPr>
      <w:r>
        <w:rPr>
          <w:rFonts w:ascii="Times New Roman" w:hAnsi="Times New Roman" w:eastAsia="宋体" w:cs="Times New Roman"/>
          <w:b w:val="0"/>
          <w:sz w:val="24"/>
        </w:rPr>
        <w:t>[12]  PX4 Development Team. Control Allocation (Mixing)[EB/OL]. PX4 Guide. https://docs.px4.io/main/en/concept/control_allocation/ (访问日期: 2026-10-09).</w:t>
      </w:r>
    </w:p>
    <w:p w14:paraId="533771C4">
      <w:pPr>
        <w:spacing w:before="120" w:beforeLines="50" w:after="120" w:afterLines="50" w:line="360" w:lineRule="exact"/>
        <w:rPr>
          <w:rFonts w:hint="eastAsia" w:ascii="黑体" w:hAnsi="宋体" w:eastAsia="黑体"/>
          <w:sz w:val="28"/>
        </w:rPr>
      </w:pPr>
      <w:r>
        <w:rPr>
          <w:rFonts w:hint="eastAsia" w:ascii="黑体" w:hAnsi="宋体" w:eastAsia="黑体"/>
          <w:sz w:val="28"/>
        </w:rPr>
        <w:t>六</w:t>
      </w:r>
      <w:r>
        <w:rPr>
          <w:rFonts w:ascii="黑体" w:hAnsi="宋体" w:eastAsia="黑体"/>
          <w:sz w:val="28"/>
        </w:rPr>
        <w:t>、</w:t>
      </w:r>
      <w:r>
        <w:rPr>
          <w:rFonts w:hint="eastAsia" w:ascii="黑体" w:hAnsi="宋体" w:eastAsia="黑体"/>
          <w:sz w:val="28"/>
        </w:rPr>
        <w:t>其他要求</w:t>
      </w:r>
    </w:p>
    <w:p w14:paraId="11143C28">
      <w:pPr>
        <w:pStyle w:val="10"/>
        <w:ind w:firstLine="480"/>
      </w:pPr>
      <w:r>
        <w:t>（此项根据实际情况为可选项）</w:t>
      </w:r>
    </w:p>
    <w:p w14:paraId="2250618A">
      <w:pPr>
        <w:spacing w:before="120" w:beforeLines="50" w:after="120" w:afterLines="50" w:line="360" w:lineRule="exact"/>
        <w:jc w:val="right"/>
        <w:rPr>
          <w:rFonts w:ascii="黑体" w:hAnsi="宋体" w:eastAsia="黑体"/>
          <w:sz w:val="28"/>
        </w:rPr>
      </w:pPr>
      <w:r>
        <w:rPr>
          <w:rFonts w:hint="eastAsia" w:ascii="黑体" w:hAnsi="宋体" w:eastAsia="黑体"/>
          <w:sz w:val="28"/>
        </w:rPr>
        <w:t xml:space="preserve">指导教师签名：_______________________      </w:t>
      </w:r>
    </w:p>
    <w:p w14:paraId="00BABAF0">
      <w:pPr>
        <w:spacing w:before="120" w:beforeLines="50" w:after="120" w:afterLines="50" w:line="360" w:lineRule="exact"/>
        <w:jc w:val="right"/>
        <w:rPr>
          <w:rFonts w:ascii="宋体" w:hAnsi="宋体"/>
          <w:szCs w:val="21"/>
        </w:rPr>
      </w:pPr>
      <w:r>
        <w:rPr>
          <w:rFonts w:hint="eastAsia" w:ascii="黑体" w:hAnsi="宋体" w:eastAsia="黑体"/>
          <w:sz w:val="28"/>
        </w:rPr>
        <w:t xml:space="preserve"> 年     月      日</w:t>
      </w:r>
      <w:r>
        <w:rPr>
          <w:rFonts w:hint="eastAsia" w:ascii="宋体" w:hAnsi="宋体"/>
          <w:szCs w:val="21"/>
        </w:rPr>
        <w:t xml:space="preserve"> </w:t>
      </w:r>
      <w:permEnd w:id="23"/>
    </w:p>
    <w:sectPr>
      <w:headerReference r:id="rId3" w:type="default"/>
      <w:pgSz w:w="11907" w:h="16840"/>
      <w:pgMar w:top="1304" w:right="1797" w:bottom="567" w:left="1797" w:header="720" w:footer="720" w:gutter="0"/>
      <w:cols w:space="425" w:num="1"/>
      <w:docGrid w:linePitch="27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6ADC2">
    <w:pPr>
      <w:pStyle w:val="4"/>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97"/>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21022"/>
    <w:rsid w:val="00004CB6"/>
    <w:rsid w:val="00024115"/>
    <w:rsid w:val="000319A8"/>
    <w:rsid w:val="00054663"/>
    <w:rsid w:val="00085923"/>
    <w:rsid w:val="000B0289"/>
    <w:rsid w:val="000B0D74"/>
    <w:rsid w:val="000B1BA1"/>
    <w:rsid w:val="000C7907"/>
    <w:rsid w:val="000F31AE"/>
    <w:rsid w:val="000F7F40"/>
    <w:rsid w:val="00117889"/>
    <w:rsid w:val="00132002"/>
    <w:rsid w:val="00141255"/>
    <w:rsid w:val="00167F9B"/>
    <w:rsid w:val="001C4B58"/>
    <w:rsid w:val="001C4D58"/>
    <w:rsid w:val="001F3178"/>
    <w:rsid w:val="002078E7"/>
    <w:rsid w:val="002169BE"/>
    <w:rsid w:val="00222B33"/>
    <w:rsid w:val="0023480C"/>
    <w:rsid w:val="0023626C"/>
    <w:rsid w:val="00241E1B"/>
    <w:rsid w:val="00266BE2"/>
    <w:rsid w:val="002845D9"/>
    <w:rsid w:val="00295EFA"/>
    <w:rsid w:val="002B6368"/>
    <w:rsid w:val="0031340D"/>
    <w:rsid w:val="00320507"/>
    <w:rsid w:val="00321111"/>
    <w:rsid w:val="0033569D"/>
    <w:rsid w:val="00354882"/>
    <w:rsid w:val="0038141A"/>
    <w:rsid w:val="003845FD"/>
    <w:rsid w:val="0039080B"/>
    <w:rsid w:val="00395887"/>
    <w:rsid w:val="003A0C5D"/>
    <w:rsid w:val="003B5437"/>
    <w:rsid w:val="003B6753"/>
    <w:rsid w:val="00416815"/>
    <w:rsid w:val="00444EA1"/>
    <w:rsid w:val="00450B6A"/>
    <w:rsid w:val="00451B59"/>
    <w:rsid w:val="004542C8"/>
    <w:rsid w:val="004659FC"/>
    <w:rsid w:val="0047245E"/>
    <w:rsid w:val="004A7C6A"/>
    <w:rsid w:val="004C579A"/>
    <w:rsid w:val="004D6AD6"/>
    <w:rsid w:val="004E6B31"/>
    <w:rsid w:val="00540AE4"/>
    <w:rsid w:val="00556D07"/>
    <w:rsid w:val="005858AA"/>
    <w:rsid w:val="00594A82"/>
    <w:rsid w:val="00595F24"/>
    <w:rsid w:val="005A1B34"/>
    <w:rsid w:val="005A6289"/>
    <w:rsid w:val="006016BD"/>
    <w:rsid w:val="00603C52"/>
    <w:rsid w:val="006A462B"/>
    <w:rsid w:val="006B3B28"/>
    <w:rsid w:val="00704CE9"/>
    <w:rsid w:val="00712D4A"/>
    <w:rsid w:val="00730B0B"/>
    <w:rsid w:val="00731E3F"/>
    <w:rsid w:val="00733A4B"/>
    <w:rsid w:val="00740348"/>
    <w:rsid w:val="00756254"/>
    <w:rsid w:val="0076267F"/>
    <w:rsid w:val="00774994"/>
    <w:rsid w:val="007934F5"/>
    <w:rsid w:val="007C5EBA"/>
    <w:rsid w:val="007E0AD0"/>
    <w:rsid w:val="00802892"/>
    <w:rsid w:val="008046CF"/>
    <w:rsid w:val="008270EA"/>
    <w:rsid w:val="00827486"/>
    <w:rsid w:val="00837903"/>
    <w:rsid w:val="00857EAE"/>
    <w:rsid w:val="0087485C"/>
    <w:rsid w:val="00881925"/>
    <w:rsid w:val="00906F39"/>
    <w:rsid w:val="00924D52"/>
    <w:rsid w:val="00926627"/>
    <w:rsid w:val="0096578B"/>
    <w:rsid w:val="00965A75"/>
    <w:rsid w:val="009672BA"/>
    <w:rsid w:val="009C6ED0"/>
    <w:rsid w:val="00A1242F"/>
    <w:rsid w:val="00A1782B"/>
    <w:rsid w:val="00A21022"/>
    <w:rsid w:val="00A21BD5"/>
    <w:rsid w:val="00A354BF"/>
    <w:rsid w:val="00A810D1"/>
    <w:rsid w:val="00A971AD"/>
    <w:rsid w:val="00AB584E"/>
    <w:rsid w:val="00AB6594"/>
    <w:rsid w:val="00B02E35"/>
    <w:rsid w:val="00B06EDF"/>
    <w:rsid w:val="00B07DBE"/>
    <w:rsid w:val="00B23542"/>
    <w:rsid w:val="00B63E3C"/>
    <w:rsid w:val="00B66FAB"/>
    <w:rsid w:val="00B70970"/>
    <w:rsid w:val="00B73E15"/>
    <w:rsid w:val="00B816A6"/>
    <w:rsid w:val="00BC4594"/>
    <w:rsid w:val="00BE150F"/>
    <w:rsid w:val="00C016F9"/>
    <w:rsid w:val="00C039C9"/>
    <w:rsid w:val="00C20BEE"/>
    <w:rsid w:val="00C3464E"/>
    <w:rsid w:val="00C46EAF"/>
    <w:rsid w:val="00CA22AB"/>
    <w:rsid w:val="00CD782C"/>
    <w:rsid w:val="00D166B8"/>
    <w:rsid w:val="00D375B9"/>
    <w:rsid w:val="00D55DD9"/>
    <w:rsid w:val="00DC3560"/>
    <w:rsid w:val="00DC37E5"/>
    <w:rsid w:val="00DC4F7D"/>
    <w:rsid w:val="00DD091C"/>
    <w:rsid w:val="00E02D90"/>
    <w:rsid w:val="00E303C6"/>
    <w:rsid w:val="00E566D5"/>
    <w:rsid w:val="00E72DA1"/>
    <w:rsid w:val="00E9216B"/>
    <w:rsid w:val="00EC368C"/>
    <w:rsid w:val="00ED6009"/>
    <w:rsid w:val="00EE480A"/>
    <w:rsid w:val="00F00205"/>
    <w:rsid w:val="00F12D78"/>
    <w:rsid w:val="00F324E6"/>
    <w:rsid w:val="00F6570B"/>
    <w:rsid w:val="00F82752"/>
    <w:rsid w:val="00F91EAF"/>
    <w:rsid w:val="00F96A1D"/>
    <w:rsid w:val="00FA0F59"/>
    <w:rsid w:val="00FB2CF2"/>
    <w:rsid w:val="00FE17F3"/>
    <w:rsid w:val="00FE1C37"/>
    <w:rsid w:val="00FE62FC"/>
    <w:rsid w:val="76297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alloon Text"/>
    <w:basedOn w:val="1"/>
    <w:semiHidden/>
    <w:qFormat/>
    <w:uiPriority w:val="0"/>
    <w:rPr>
      <w:sz w:val="18"/>
      <w:szCs w:val="18"/>
    </w:rPr>
  </w:style>
  <w:style w:type="paragraph" w:styleId="3">
    <w:name w:val="footer"/>
    <w:basedOn w:val="1"/>
    <w:link w:val="8"/>
    <w:qFormat/>
    <w:uiPriority w:val="0"/>
    <w:pPr>
      <w:tabs>
        <w:tab w:val="center" w:pos="4153"/>
        <w:tab w:val="right" w:pos="8306"/>
      </w:tabs>
      <w:snapToGrid w:val="0"/>
      <w:jc w:val="left"/>
    </w:pPr>
    <w:rPr>
      <w:sz w:val="18"/>
      <w:szCs w:val="18"/>
      <w:lang w:val="zh-CN" w:eastAsia="zh-CN"/>
    </w:rPr>
  </w:style>
  <w:style w:type="paragraph" w:styleId="4">
    <w:name w:val="header"/>
    <w:basedOn w:val="1"/>
    <w:link w:val="7"/>
    <w:qFormat/>
    <w:uiPriority w:val="0"/>
    <w:pPr>
      <w:pBdr>
        <w:bottom w:val="single" w:color="auto" w:sz="6" w:space="1"/>
      </w:pBdr>
      <w:tabs>
        <w:tab w:val="center" w:pos="4153"/>
        <w:tab w:val="right" w:pos="8306"/>
      </w:tabs>
      <w:snapToGrid w:val="0"/>
      <w:jc w:val="center"/>
    </w:pPr>
    <w:rPr>
      <w:sz w:val="18"/>
      <w:szCs w:val="18"/>
      <w:lang w:val="zh-CN" w:eastAsia="zh-CN"/>
    </w:rPr>
  </w:style>
  <w:style w:type="character" w:customStyle="1" w:styleId="7">
    <w:name w:val="页眉 Char"/>
    <w:link w:val="4"/>
    <w:qFormat/>
    <w:uiPriority w:val="0"/>
    <w:rPr>
      <w:kern w:val="2"/>
      <w:sz w:val="18"/>
      <w:szCs w:val="18"/>
    </w:rPr>
  </w:style>
  <w:style w:type="character" w:customStyle="1" w:styleId="8">
    <w:name w:val="页脚 Char"/>
    <w:link w:val="3"/>
    <w:qFormat/>
    <w:uiPriority w:val="0"/>
    <w:rPr>
      <w:kern w:val="2"/>
      <w:sz w:val="18"/>
      <w:szCs w:val="18"/>
    </w:rPr>
  </w:style>
  <w:style w:type="paragraph" w:customStyle="1" w:styleId="9">
    <w:name w:val="样式 样式 行距: 1.5 倍行距 + 首行缩进:  2 字符"/>
    <w:basedOn w:val="1"/>
    <w:qFormat/>
    <w:uiPriority w:val="0"/>
    <w:pPr>
      <w:spacing w:line="480" w:lineRule="auto"/>
    </w:pPr>
    <w:rPr>
      <w:rFonts w:cs="宋体"/>
      <w:sz w:val="24"/>
    </w:rPr>
  </w:style>
  <w:style w:type="paragraph" w:customStyle="1" w:styleId="10">
    <w:name w:val="正文格式"/>
    <w:basedOn w:val="1"/>
    <w:link w:val="12"/>
    <w:qFormat/>
    <w:uiPriority w:val="0"/>
    <w:pPr>
      <w:spacing w:line="360" w:lineRule="auto"/>
      <w:ind w:firstLine="200" w:firstLineChars="200"/>
    </w:pPr>
    <w:rPr>
      <w:sz w:val="24"/>
      <w:szCs w:val="24"/>
    </w:rPr>
  </w:style>
  <w:style w:type="paragraph" w:customStyle="1" w:styleId="11">
    <w:name w:val="Revision"/>
    <w:hidden/>
    <w:semiHidden/>
    <w:qFormat/>
    <w:uiPriority w:val="99"/>
    <w:rPr>
      <w:rFonts w:ascii="Times New Roman" w:hAnsi="Times New Roman" w:eastAsia="宋体" w:cs="Times New Roman"/>
      <w:kern w:val="2"/>
      <w:sz w:val="21"/>
      <w:lang w:val="en-US" w:eastAsia="zh-CN" w:bidi="ar-SA"/>
    </w:rPr>
  </w:style>
  <w:style w:type="character" w:customStyle="1" w:styleId="12">
    <w:name w:val="正文格式 字符"/>
    <w:link w:val="10"/>
    <w:qFormat/>
    <w:uiPriority w:val="0"/>
    <w:rPr>
      <w:kern w:val="2"/>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Tongji University</Company>
  <Pages>6</Pages>
  <Words>2798</Words>
  <Characters>4490</Characters>
  <Lines>69</Lines>
  <Paragraphs>39</Paragraphs>
  <TotalTime>16</TotalTime>
  <ScaleCrop>false</ScaleCrop>
  <LinksUpToDate>false</LinksUpToDate>
  <CharactersWithSpaces>4803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2026-09-23T01:03:00Z</dcterms:created>
  <dc:creator>JW112</dc:creator>
  <dc:description>由对比修改标注稿应用修订形成</dc:description>
  <cp:lastModifiedBy>张卫恒</cp:lastModifiedBy>
  <cp:lastPrinted>2014-11-07T06:35:00Z</cp:lastPrinted>
  <dcterms:modified xsi:type="dcterms:W3CDTF">2026-10-09T15:43:56Z</dcterms:modified>
  <dc:subject>同济大学毕业设计（论文）任务书</dc:subject>
  <dc:title>基于PX4的水下航行器模型控制方法研究 - 修改净稿</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eyJoZGlkIjoiODQ2ZDc5NWZlNjc1N2YxMjNkYmZlOWYyNzcyODc0ZDgiLCJ1c2VySWQiOiIxNjEyNDcyMTYzIn0=</vt:lpwstr>
  </property>
  <property fmtid="{D5CDD505-2E9C-101B-9397-08002B2CF9AE}" pid="3" name="KSOProductBuildVer">
    <vt:lpwstr>2052-12.1.0.28043</vt:lpwstr>
  </property>
  <property fmtid="{D5CDD505-2E9C-101B-9397-08002B2CF9AE}" pid="4" name="ICV">
    <vt:lpwstr>B4A49BE491AD4F4E83AD792AC4F1225F_12</vt:lpwstr>
  </property>
</Properties>
</file>