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基于PX4的水下航行器模型控制方法研究</w:t>
        <w:br/>
        <w:t>任务书对比评估与修改说明</w:t>
      </w:r>
    </w:p>
    <w:p>
      <w:r>
        <w:rPr>
          <w:b/>
        </w:rPr>
        <w:t>评估对象：</w:t>
      </w:r>
      <w:r>
        <w:t>《任务书-基于PX4的水下航行器模型控制方法研究.docx》</w:t>
      </w:r>
    </w:p>
    <w:p>
      <w:r>
        <w:rPr>
          <w:b/>
        </w:rPr>
        <w:t>横向对照：</w:t>
      </w:r>
      <w:r>
        <w:t>①《基于土壤刚度识别的压路机器人自适应压实控制研究》任务书（2026—2027届）；②《双轮足机器人结构设计与运动控制研究》任务书（2025—2026届）。</w:t>
      </w:r>
    </w:p>
    <w:p>
      <w:r>
        <w:rPr>
          <w:b/>
        </w:rPr>
        <w:t>格式依据：</w:t>
      </w:r>
      <w:r>
        <w:t>上传的《1毕业设计(论文)任务书.docx》空白模板；新稿直接沿用目标文件的封面、六个章节、进度表与签字栏。</w:t>
      </w:r>
    </w:p>
    <w:p>
      <w:pPr>
        <w:pStyle w:val="Heading1"/>
        <w:keepNext/>
      </w:pPr>
      <w:r>
        <w:t>一、总体结论</w:t>
      </w:r>
    </w:p>
    <w:p>
      <w:r>
        <w:rPr>
          <w:b/>
        </w:rPr>
        <w:t>结论：</w:t>
      </w:r>
      <w:r>
        <w:t>原稿“动力学建模—参数辨识—约束预测控制—仿真试验”的研究逻辑成立，专业内容较充实；但题目中的PX4没有在研究任务、技术接口和验收成果中形成贯通主线，部分论断过于绝对，参考文献存在可核实的著录错误。推荐修改后提交。</w:t>
      </w:r>
    </w:p>
    <w:p>
      <w:r>
        <w:rPr>
          <w:b/>
        </w:rPr>
        <w:t>比较定位：</w:t>
      </w:r>
      <w:r>
        <w:t>压路机器人任务书在“课题痛点—识别变量—控制反馈—验证指标”的对应方面较清楚；双轮足机器人任务书在“具体实施、软件平台、实物试验条件”的交代方面较直观，但算法堆叠偏多。PX4任务书应保留原有建模与约束优化的技术深度，同时吸收其任务闭环、交付物明确、验证条件分级的优点。</w:t>
      </w:r>
    </w:p>
    <w:p>
      <w:pPr>
        <w:pStyle w:val="Heading1"/>
        <w:keepNext/>
      </w:pPr>
      <w:r>
        <w:t>二、按模板章节逐项评估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276"/>
            <w:shd w:fill="EAF1F4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黑体" w:hAnsi="黑体" w:eastAsia="黑体"/>
                <w:b/>
                <w:sz w:val="17"/>
              </w:rPr>
              <w:t>章节与功能</w:t>
            </w:r>
          </w:p>
        </w:tc>
        <w:tc>
          <w:tcPr>
            <w:tcW w:type="dxa" w:w="2466"/>
            <w:shd w:fill="EAF1F4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黑体" w:hAnsi="黑体" w:eastAsia="黑体"/>
                <w:b/>
                <w:sz w:val="17"/>
              </w:rPr>
              <w:t>两份对照稿的可借鉴之处</w:t>
            </w:r>
          </w:p>
        </w:tc>
        <w:tc>
          <w:tcPr>
            <w:tcW w:type="dxa" w:w="2580"/>
            <w:shd w:fill="EAF1F4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黑体" w:hAnsi="黑体" w:eastAsia="黑体"/>
                <w:b/>
                <w:sz w:val="17"/>
              </w:rPr>
              <w:t>PX4原稿评估</w:t>
            </w:r>
          </w:p>
        </w:tc>
        <w:tc>
          <w:tcPr>
            <w:tcW w:type="dxa" w:w="2665"/>
            <w:shd w:fill="EAF1F4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黑体" w:hAnsi="黑体" w:eastAsia="黑体"/>
                <w:b/>
                <w:sz w:val="17"/>
              </w:rPr>
              <w:t>对比修改要点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封面与形式</w:t>
              <w:br/>
              <w:t>确认课题及行政信息</w:t>
            </w:r>
          </w:p>
        </w:tc>
        <w:tc>
          <w:tcPr>
            <w:tcW w:type="dxa" w:w="246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同届压路机器人任务书按“毕业论文”表述；旧届双轮足机器人使用不同版本的章节标题。</w:t>
            </w:r>
          </w:p>
        </w:tc>
        <w:tc>
          <w:tcPr>
            <w:tcW w:type="dxa" w:w="2580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封面、院系、学号、日期、签名栏齐备；“毕业设计(论文)”仍属待按备案类型确定的模板括注。</w:t>
            </w:r>
          </w:p>
        </w:tc>
        <w:tc>
          <w:tcPr>
            <w:tcW w:type="dxa" w:w="266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保留既有行政字段和表格。最终提交前请学院确认“毕业设计/毕业论文”类型，再统一替换封面及章节称谓。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一、课题背景</w:t>
              <w:br/>
              <w:t>说明应用需求—现存问题—本课题定位</w:t>
            </w:r>
          </w:p>
        </w:tc>
        <w:tc>
          <w:tcPr>
            <w:tcW w:type="dxa" w:w="246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压路机器人稿以“固定作业参数不能适应土壤差异”聚焦痛点；双轮足稿用构型对照引出研究价值。</w:t>
            </w:r>
          </w:p>
        </w:tc>
        <w:tc>
          <w:tcPr>
            <w:tcW w:type="dxa" w:w="2580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水下应用场景充分，但篇幅偏长；“完全可控”“饱和失控”等判断偏绝对；未说明为何必须基于PX4。</w:t>
            </w:r>
          </w:p>
        </w:tc>
        <w:tc>
          <w:tcPr>
            <w:tcW w:type="dxa" w:w="266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压缩冗余场景叙述，补充推力矩阵秩条件、控制实时性矛盾和PX4水下支持的实验性边界。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二、主要内容</w:t>
              <w:br/>
              <w:t>分解研究任务与技术路线</w:t>
            </w:r>
          </w:p>
        </w:tc>
        <w:tc>
          <w:tcPr>
            <w:tcW w:type="dxa" w:w="246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两篇对照稿均以2.1—2.4的任务链条组织“建模→算法→验证”。</w:t>
            </w:r>
          </w:p>
        </w:tc>
        <w:tc>
          <w:tcPr>
            <w:tcW w:type="dxa" w:w="2580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四个子任务顺序合理，但2.1和2.2有建模边界重叠；2.3未落实PX4接口，2.4虽有SITL但未说明与PX4连接。</w:t>
            </w:r>
          </w:p>
        </w:tc>
        <w:tc>
          <w:tcPr>
            <w:tcW w:type="dxa" w:w="266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区分机理建模与辨识模型；补充PX4状态/控制/执行器接口、八推进器配置和SITL接口联调。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三、要求及成果</w:t>
              <w:br/>
              <w:t>把研究工作转化成可验收交付物</w:t>
            </w:r>
          </w:p>
        </w:tc>
        <w:tc>
          <w:tcPr>
            <w:tcW w:type="dxa" w:w="246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双轮足稿写明三维模型、程序和实验记录；压路机器人稿把数据集、控制性能指标落实到条目。</w:t>
            </w:r>
          </w:p>
        </w:tc>
        <w:tc>
          <w:tcPr>
            <w:tcW w:type="dxa" w:w="2580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原稿列出较多“完成、分析、研究”，但对PX4配置、推力矩阵秩检验、误差数据和算法日志的交付不足。</w:t>
            </w:r>
          </w:p>
        </w:tc>
        <w:tc>
          <w:tcPr>
            <w:tcW w:type="dxa" w:w="266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七条要求保持原有数量与顺序，逐条补充模型、接口文件、代码、定量指标、对比图表和测试日志。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四、进度安排</w:t>
              <w:br/>
              <w:t>将任务分配至阶段并保留学校里程碑</w:t>
            </w:r>
          </w:p>
        </w:tc>
        <w:tc>
          <w:tcPr>
            <w:tcW w:type="dxa" w:w="246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同届压路机器人稿保留12个行政+研究阶段；旧届机器人稿采用9阶段教学周安排，不宜照抄其版式。</w:t>
            </w:r>
          </w:p>
        </w:tc>
        <w:tc>
          <w:tcPr>
            <w:tcW w:type="dxa" w:w="2580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原稿的研究阶段总体顺畅，但“控制算法+PX4适配”集中在后期，SITL与水池都安排在短时段内。</w:t>
            </w:r>
          </w:p>
        </w:tc>
        <w:tc>
          <w:tcPr>
            <w:tcW w:type="dxa" w:w="266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保留模板日期、教学周、行政节点与12个阶段，仅调整4个科研阶段名称，提前体现PX4接口工作。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五、资料与参考文献</w:t>
              <w:br/>
              <w:t>说明应收集什么并支撑方案</w:t>
            </w:r>
          </w:p>
        </w:tc>
        <w:tc>
          <w:tcPr>
            <w:tcW w:type="dxa" w:w="246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两份对照稿的参考文献均编号；土壤稿较重近期专题研究，双轮足稿覆盖专著、学位论文和实现实例。</w:t>
            </w:r>
          </w:p>
        </w:tc>
        <w:tc>
          <w:tcPr>
            <w:tcW w:type="dxa" w:w="2580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原稿只有未编号的参考文献；一部中文专著和一篇辨识论文的著录信息与公开记录不符，PX4官方技术资料缺席。</w:t>
            </w:r>
          </w:p>
        </w:tc>
        <w:tc>
          <w:tcPr>
            <w:tcW w:type="dxa" w:w="266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补充应收集资料的说明、编号与PX4官方文档；核正中文专著；以真实水下约束MPC论文替换机器人辨识论文。</w:t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六、其他要求</w:t>
              <w:br/>
              <w:t>容纳可选附加要求及签署</w:t>
            </w:r>
          </w:p>
        </w:tc>
        <w:tc>
          <w:tcPr>
            <w:tcW w:type="dxa" w:w="2466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同届稿和模板均保留本栏目及指导教师签名。</w:t>
            </w:r>
          </w:p>
        </w:tc>
        <w:tc>
          <w:tcPr>
            <w:tcW w:type="dxa" w:w="2580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该栏结构完整，原稿暂无额外要求；不应凭空增设行政或硬件采购条件。</w:t>
            </w:r>
          </w:p>
        </w:tc>
        <w:tc>
          <w:tcPr>
            <w:tcW w:type="dxa" w:w="266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宋体" w:hAnsi="宋体" w:eastAsia="宋体"/>
                <w:sz w:val="17"/>
              </w:rPr>
              <w:t>保持原样，无需修改。</w:t>
            </w:r>
          </w:p>
        </w:tc>
      </w:tr>
    </w:tbl>
    <w:p>
      <w:pPr>
        <w:pStyle w:val="Heading1"/>
        <w:keepNext/>
      </w:pPr>
      <w:r>
        <w:t>三、需要重点调整的原文措辞</w:t>
      </w:r>
    </w:p>
    <w:p>
      <w:pPr/>
      <w:r>
        <w:rPr>
          <w:b/>
        </w:rPr>
        <w:t>“具备空间六自由度完全可控特性”：</w:t>
      </w:r>
      <w:r>
        <w:t>改为“具有实现六自由度主动控制的潜力”，并要求进行推力配置矩阵秩与约束检验；避免先验认定八推进器必然满秩。</w:t>
      </w:r>
    </w:p>
    <w:p>
      <w:pPr/>
      <w:r>
        <w:rPr>
          <w:b/>
        </w:rPr>
        <w:t>“极易发生执行器饱和失控”：</w:t>
      </w:r>
      <w:r>
        <w:t>改为“多轴机动时可能出现执行器饱和”，将风险表述与实际控制结果区分。</w:t>
      </w:r>
    </w:p>
    <w:p>
      <w:pPr/>
      <w:r>
        <w:rPr>
          <w:b/>
        </w:rPr>
        <w:t>“常规PID……无法……显式处理”：</w:t>
      </w:r>
      <w:r>
        <w:t>改为“常规PID控制难以直接兼顾多变量耦合与执行器约束”，避免对所有PID改进形式作绝对否定。</w:t>
      </w:r>
    </w:p>
    <w:p>
      <w:pPr/>
      <w:r>
        <w:rPr>
          <w:b/>
        </w:rPr>
        <w:t>“确保单步优化计算在机载控制周期内稳定收敛”：</w:t>
      </w:r>
      <w:r>
        <w:t>改为“通过求解耗时与超时情况评估控制周期内运行的可行性”；本科任务书不应预先承诺优化必然收敛。</w:t>
      </w:r>
    </w:p>
    <w:p>
      <w:pPr/>
      <w:r>
        <w:rPr>
          <w:b/>
        </w:rPr>
        <w:t>“在水池实验中完成闭环验证”：</w:t>
      </w:r>
      <w:r>
        <w:t>采用“最低完成PX4软件在环闭环验证；条件具备时进一步开展水池试验”的分级要求，确保成果可检查、风险可解释。</w:t>
      </w:r>
    </w:p>
    <w:p>
      <w:pPr>
        <w:pStyle w:val="Heading1"/>
        <w:keepNext/>
      </w:pPr>
      <w:r>
        <w:t>四、参考文献核验与平台边界</w:t>
      </w:r>
    </w:p>
    <w:p>
      <w:pPr>
        <w:ind w:left="198"/>
      </w:pPr>
      <w:r>
        <w:t>• 原[2]“严卫生、高剑、崔荣鑫等，《水下航行器控制技术》，2020”与检索到的书目不符；图书馆馆藏及正式学术引文支持“严浙平、周佳加，《水下无人航行器控制技术》，国防工业出版社，2015”。修改稿已标黄更正。</w:t>
      </w:r>
    </w:p>
    <w:p>
      <w:pPr>
        <w:ind w:left="198"/>
      </w:pPr>
      <w:r>
        <w:t>• 原[4]“Park S, Sung S, Choi H, IEEE Transactions on Instrumentation and Measurement, 2016”信息有误；可核实的同名工作由Kyongho Park、Youngjin Choi发表于ICCA 2016，并且主题为机械臂而非水下航行器。修改稿予以删除，补入与水下约束预测控制直接相关的ICRA 2018论文。</w:t>
      </w:r>
    </w:p>
    <w:p>
      <w:pPr>
        <w:ind w:left="198"/>
      </w:pPr>
      <w:r>
        <w:t>• PX4官网将Submarines/UUV列为实验性支持；PX4的控制分配机制可将广义力/力矩指令映射至执行器，但不能假定其默认配置即可兼容特定八推进器安装方式。任务中因此增设配置矩阵映射、接口调通和SITL验收。</w:t>
      </w:r>
    </w:p>
    <w:p>
      <w:pPr>
        <w:keepNext/>
      </w:pPr>
      <w:r>
        <w:rPr>
          <w:b/>
        </w:rPr>
        <w:t>本次核验依据（主要来源）：</w:t>
      </w:r>
    </w:p>
    <w:p>
      <w:pPr>
        <w:spacing w:after="20"/>
        <w:ind w:left="283" w:hanging="142"/>
      </w:pPr>
      <w:r>
        <w:rPr>
          <w:sz w:val="17"/>
        </w:rPr>
        <w:t>– 高校图书馆馆藏书目：https://hotbook.nbt.edu.cn/nbt/?id=92702&amp;what=detail</w:t>
      </w:r>
    </w:p>
    <w:p>
      <w:pPr>
        <w:spacing w:after="20"/>
        <w:ind w:left="283" w:hanging="142"/>
      </w:pPr>
      <w:r>
        <w:rPr>
          <w:sz w:val="17"/>
        </w:rPr>
        <w:t>– DBLP作者及会议信息：https://dblp.org/pid/69/4833.html</w:t>
      </w:r>
    </w:p>
    <w:p>
      <w:pPr>
        <w:spacing w:after="20"/>
        <w:ind w:left="283" w:hanging="142"/>
      </w:pPr>
      <w:r>
        <w:rPr>
          <w:sz w:val="17"/>
        </w:rPr>
        <w:t>– Aalborg University公开文献DOI：https://doi.org/10.1109/ICRA.2018.8460918</w:t>
      </w:r>
    </w:p>
    <w:p>
      <w:pPr>
        <w:spacing w:after="20"/>
        <w:ind w:left="283" w:hanging="142"/>
      </w:pPr>
      <w:r>
        <w:rPr>
          <w:sz w:val="17"/>
        </w:rPr>
        <w:t>– PX4 UUV官方文档：https://docs.px4.io/main/en/frames_sub/</w:t>
      </w:r>
    </w:p>
    <w:p>
      <w:pPr>
        <w:spacing w:after="20"/>
        <w:ind w:left="283" w:hanging="142"/>
      </w:pPr>
      <w:r>
        <w:rPr>
          <w:sz w:val="17"/>
        </w:rPr>
        <w:t>– PX4控制分配官方文档：https://docs.px4.io/main/en/concept/control_allocation/</w:t>
      </w:r>
    </w:p>
    <w:p>
      <w:pPr>
        <w:pStyle w:val="Heading1"/>
        <w:keepNext/>
      </w:pPr>
      <w:r>
        <w:t>五、建议采用的阶段验收证据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黑体" w:hAnsi="黑体"/>
                <w:b/>
                <w:sz w:val="17"/>
              </w:rPr>
              <w:t>验收环节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黑体" w:hAnsi="黑体"/>
                <w:b/>
                <w:sz w:val="17"/>
              </w:rPr>
              <w:t>建议提交的证明材料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黑体" w:hAnsi="黑体"/>
                <w:b/>
                <w:sz w:val="17"/>
              </w:rPr>
              <w:t>可检查的问题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六自由度模型 / 2.1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六自由度运动方程、推力配置矩阵、满秩检验及PX4输入输出映射表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能对应实际八推进器安装方向和可实现控制方向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参数辨识 / 2.2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原始及处理后数据、处理代码、参数表、独立测试工况预测误差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明确参数可辨识性与预测误差的计算方式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约束控制 / 2.3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控制器代码、约束设置及推力分配实现、控制周期测试日志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关注约束满足、计算超时和求解失败退回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闭环验证 / 2.4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PX4软件在环运行配置、轨迹与扰动工况、PID/MPC对比图表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至少完成数值仿真和PX4软件在环的闭环记录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水池试验 / 有条件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若具备条件：试验方案、传感器记录和水池测试图表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不具备时提交条件限制说明，不替代必选SITL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论文及归档 / 三、四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毕业论文、开题报告、文献综述、模型、配置文件和数据</w:t>
            </w:r>
          </w:p>
        </w:tc>
        <w:tc>
          <w:tcPr>
            <w:tcW w:type="dxa" w:w="2986"/>
            <w:vAlign w:val="center"/>
          </w:tcPr>
          <w:p>
            <w:pPr>
              <w:spacing w:line="276" w:lineRule="auto" w:after="60"/>
            </w:pPr>
            <w:r>
              <w:rPr>
                <w:rFonts w:ascii="宋体" w:hAnsi="宋体"/>
                <w:b w:val="0"/>
                <w:sz w:val="17"/>
              </w:rPr>
              <w:t>保证进度表阶段名称与提交成果一一呼应</w:t>
            </w:r>
          </w:p>
        </w:tc>
      </w:tr>
    </w:tbl>
    <w:p>
      <w:pPr>
        <w:pStyle w:val="Heading1"/>
        <w:keepNext/>
      </w:pPr>
      <w:r>
        <w:t>六、标注稿使用说明及提交前核对项</w:t>
      </w:r>
    </w:p>
    <w:p>
      <w:r>
        <w:rPr>
          <w:b/>
        </w:rPr>
        <w:t>标注稿：</w:t>
      </w:r>
      <w:r>
        <w:t>删除的原文保留删除线；新增或替换后的文字用黄色高亮。标注为可视化对照，并非Word“审阅”菜单中的可接受/拒绝修订记录；同一文档中保留了部分原句以展示修改依据。</w:t>
      </w:r>
    </w:p>
    <w:p>
      <w:r>
        <w:rPr>
          <w:b/>
        </w:rPr>
        <w:t>净稿：</w:t>
      </w:r>
      <w:r>
        <w:t>与标注稿中删除线之外的有效文字逐段一致，用于检查内容与提交前排版。标注稿因同时显示删改文字，其页数可能多于净稿，不代表学校模板的页边距或表格结构被更改。</w:t>
      </w:r>
    </w:p>
    <w:p>
      <w:r>
        <w:rPr>
          <w:b/>
        </w:rPr>
        <w:t>尚需指导教师确认：</w:t>
      </w:r>
      <w:r>
        <w:t>①项目最终归类为“毕业设计”还是“毕业论文”；②平台能否提供可用的推进器标定、姿态/速度数据和PX4固件接口；③水池试验条件是否真实具备。未获确认前不修改封面身份信息、模板日期或签署信息。</w:t>
      </w:r>
    </w:p>
    <w:sectPr w:rsidR="00FC693F" w:rsidRPr="0006063C" w:rsidSect="00034616">
      <w:footerReference w:type="default" r:id="rId9"/>
      <w:pgSz w:w="11906" w:h="16838"/>
      <w:pgMar w:top="1332" w:right="1446" w:bottom="1247" w:left="15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/>
        <w:color w:val="647077"/>
        <w:sz w:val="16"/>
      </w:rPr>
      <w:t>对比评估与修改说明  |  2026-10-09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宋体" w:hAnsi="宋体" w:eastAsia="宋体"/>
      <w:color w:val="2830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37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37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360"/>
      <w:contextualSpacing/>
    </w:pPr>
    <w:rPr>
      <w:rFonts w:asciiTheme="majorHAnsi" w:eastAsiaTheme="majorEastAsia" w:hAnsiTheme="majorHAnsi" w:cstheme="majorBidi" w:ascii="黑体" w:hAnsi="黑体" w:eastAsia="黑体"/>
      <w:b/>
      <w:color w:val="1A374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