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BBF4C">
      <w:pPr>
        <w:ind w:firstLine="480"/>
        <w:rPr>
          <w:rFonts w:hint="eastAsia"/>
        </w:rPr>
      </w:pPr>
      <w:r>
        <w:rPr>
          <w:rFonts w:hint="eastAsia"/>
        </w:rPr>
        <w:t xml:space="preserve"> </w:t>
      </w:r>
    </w:p>
    <w:p w14:paraId="13A69A28">
      <w:pPr>
        <w:ind w:firstLine="480"/>
        <w:rPr>
          <w:rFonts w:hint="eastAsia"/>
        </w:rPr>
      </w:pPr>
    </w:p>
    <w:p w14:paraId="7974B84F">
      <w:pPr>
        <w:ind w:firstLine="480"/>
      </w:pPr>
    </w:p>
    <w:p w14:paraId="0DCFAF5B">
      <w:pPr>
        <w:ind w:firstLine="480"/>
        <w:rPr>
          <w:rFonts w:hint="eastAsia"/>
        </w:rPr>
      </w:pPr>
      <w:r>
        <w:pict>
          <v:shape id="_x0000_s2050" o:spid="_x0000_s2050" o:spt="75" type="#_x0000_t75" style="position:absolute;left:0pt;margin-left:105pt;margin-top:21pt;height:49.2pt;width:200pt;mso-wrap-distance-bottom:0pt;mso-wrap-distance-top:0pt;z-index:251659264;mso-width-relative:page;mso-height-relative:page;" filled="f" o:preferrelative="t" stroked="f" coordsize="21600,21600">
            <v:path/>
            <v:fill on="f" focussize="0,0"/>
            <v:stroke on="f" joinstyle="miter"/>
            <v:imagedata r:id="rId4" o:title="同济大学字"/>
            <o:lock v:ext="edit" aspectratio="t"/>
            <w10:wrap type="topAndBottom"/>
          </v:shape>
        </w:pict>
      </w:r>
    </w:p>
    <w:p w14:paraId="7386E4E3">
      <w:pPr>
        <w:ind w:firstLine="480"/>
        <w:rPr>
          <w:rFonts w:hint="eastAsia"/>
        </w:rPr>
      </w:pPr>
    </w:p>
    <w:p w14:paraId="1907C676">
      <w:pPr>
        <w:spacing w:line="240" w:lineRule="auto"/>
        <w:rPr>
          <w:rFonts w:hint="eastAsia" w:ascii="黑体" w:eastAsia="黑体"/>
          <w:sz w:val="72"/>
        </w:rPr>
      </w:pPr>
      <w:r>
        <w:rPr>
          <w:rFonts w:ascii="黑体" w:eastAsia="黑体"/>
          <w:sz w:val="48"/>
        </w:rPr>
        <w:t xml:space="preserve"> </w:t>
      </w:r>
      <w:r>
        <w:rPr>
          <w:rFonts w:hint="eastAsia" w:ascii="黑体" w:eastAsia="黑体"/>
          <w:sz w:val="72"/>
        </w:rPr>
        <w:t>毕业设计</w:t>
      </w:r>
      <w:r>
        <w:rPr>
          <w:rFonts w:hint="eastAsia" w:ascii="宋体" w:hAnsi="宋体"/>
          <w:sz w:val="72"/>
        </w:rPr>
        <w:t>(</w:t>
      </w:r>
      <w:r>
        <w:rPr>
          <w:rFonts w:hint="eastAsia" w:ascii="黑体" w:eastAsia="黑体"/>
          <w:sz w:val="72"/>
        </w:rPr>
        <w:t>论文</w:t>
      </w:r>
      <w:r>
        <w:rPr>
          <w:rFonts w:hint="eastAsia" w:ascii="宋体" w:hAnsi="宋体"/>
          <w:sz w:val="72"/>
        </w:rPr>
        <w:t>)</w:t>
      </w:r>
      <w:r>
        <w:rPr>
          <w:rFonts w:hint="eastAsia" w:ascii="黑体" w:eastAsia="黑体"/>
          <w:sz w:val="72"/>
        </w:rPr>
        <w:t>开题报告</w:t>
      </w:r>
    </w:p>
    <w:p w14:paraId="5A556938">
      <w:pPr>
        <w:ind w:firstLine="480"/>
        <w:rPr>
          <w:rFonts w:hint="eastAsia" w:ascii="黑体" w:eastAsia="黑体"/>
          <w:szCs w:val="21"/>
        </w:rPr>
      </w:pPr>
    </w:p>
    <w:p w14:paraId="19B266B5">
      <w:pPr>
        <w:ind w:firstLine="640"/>
        <w:rPr>
          <w:rFonts w:ascii="黑体" w:eastAsia="黑体"/>
          <w:sz w:val="32"/>
          <w:szCs w:val="32"/>
        </w:rPr>
      </w:pPr>
    </w:p>
    <w:p w14:paraId="6C1AEDAA">
      <w:pPr>
        <w:ind w:firstLine="640"/>
        <w:rPr>
          <w:rFonts w:hint="eastAsia"/>
          <w:sz w:val="32"/>
        </w:rPr>
      </w:pPr>
    </w:p>
    <w:p w14:paraId="601C90A3">
      <w:pPr>
        <w:ind w:firstLine="640"/>
        <w:rPr>
          <w:rFonts w:hint="eastAsia"/>
          <w:sz w:val="32"/>
        </w:rPr>
      </w:pPr>
    </w:p>
    <w:tbl>
      <w:tblPr>
        <w:tblStyle w:val="5"/>
        <w:tblW w:w="7470" w:type="dxa"/>
        <w:jc w:val="center"/>
        <w:tblLayout w:type="fixed"/>
        <w:tblCellMar>
          <w:top w:w="0" w:type="dxa"/>
          <w:left w:w="108" w:type="dxa"/>
          <w:bottom w:w="0" w:type="dxa"/>
          <w:right w:w="108" w:type="dxa"/>
        </w:tblCellMar>
      </w:tblPr>
      <w:tblGrid>
        <w:gridCol w:w="1863"/>
        <w:gridCol w:w="1642"/>
        <w:gridCol w:w="1298"/>
        <w:gridCol w:w="2667"/>
      </w:tblGrid>
      <w:tr w14:paraId="4C10941E">
        <w:tblPrEx>
          <w:tblCellMar>
            <w:top w:w="0" w:type="dxa"/>
            <w:left w:w="108" w:type="dxa"/>
            <w:bottom w:w="0" w:type="dxa"/>
            <w:right w:w="108" w:type="dxa"/>
          </w:tblCellMar>
        </w:tblPrEx>
        <w:trPr>
          <w:trHeight w:val="848" w:hRule="atLeast"/>
          <w:jc w:val="center"/>
        </w:trPr>
        <w:tc>
          <w:tcPr>
            <w:tcW w:w="1863" w:type="dxa"/>
            <w:vAlign w:val="bottom"/>
          </w:tcPr>
          <w:p w14:paraId="42E59D0C">
            <w:pPr>
              <w:snapToGrid w:val="0"/>
              <w:rPr>
                <w:rFonts w:ascii="宋体" w:hAnsi="宋体"/>
                <w:sz w:val="28"/>
                <w:szCs w:val="28"/>
              </w:rPr>
            </w:pPr>
            <w:permStart w:id="0" w:edGrp="everyone" w:colFirst="1" w:colLast="1"/>
            <w:r>
              <w:rPr>
                <w:rFonts w:ascii="宋体" w:hAnsi="宋体"/>
                <w:sz w:val="28"/>
                <w:szCs w:val="28"/>
              </w:rPr>
              <w:t>课题名称</w:t>
            </w:r>
          </w:p>
        </w:tc>
        <w:tc>
          <w:tcPr>
            <w:tcW w:w="5607" w:type="dxa"/>
            <w:gridSpan w:val="3"/>
            <w:tcBorders>
              <w:bottom w:val="single" w:color="auto" w:sz="4" w:space="0"/>
            </w:tcBorders>
            <w:vAlign w:val="bottom"/>
          </w:tcPr>
          <w:p w14:paraId="7DC6BB69">
            <w:pPr>
              <w:spacing w:before="0" w:after="0" w:line="240" w:lineRule="auto"/>
              <w:jc w:val="center"/>
              <w:rPr>
                <w:rFonts w:ascii="宋体" w:hAnsi="宋体"/>
                <w:sz w:val="28"/>
                <w:szCs w:val="28"/>
              </w:rPr>
            </w:pPr>
            <w:r>
              <w:rPr>
                <w:rFonts w:ascii="Times New Roman" w:hAnsi="Times New Roman" w:eastAsia="宋体" w:cs="Times New Roman"/>
                <w:b w:val="0"/>
                <w:sz w:val="28"/>
              </w:rPr>
              <w:t>基于PX4的水下航行器模型控制方法研究</w:t>
            </w:r>
          </w:p>
        </w:tc>
      </w:tr>
      <w:permEnd w:id="0"/>
      <w:tr w14:paraId="2E96675F">
        <w:tblPrEx>
          <w:tblCellMar>
            <w:top w:w="0" w:type="dxa"/>
            <w:left w:w="108" w:type="dxa"/>
            <w:bottom w:w="0" w:type="dxa"/>
            <w:right w:w="108" w:type="dxa"/>
          </w:tblCellMar>
        </w:tblPrEx>
        <w:trPr>
          <w:trHeight w:val="848" w:hRule="atLeast"/>
          <w:jc w:val="center"/>
        </w:trPr>
        <w:tc>
          <w:tcPr>
            <w:tcW w:w="1863" w:type="dxa"/>
            <w:vAlign w:val="bottom"/>
          </w:tcPr>
          <w:p w14:paraId="330F2F2C">
            <w:pPr>
              <w:rPr>
                <w:rFonts w:ascii="宋体" w:hAnsi="宋体"/>
                <w:sz w:val="28"/>
                <w:szCs w:val="28"/>
              </w:rPr>
            </w:pPr>
            <w:permStart w:id="1" w:edGrp="everyone" w:colFirst="1" w:colLast="1"/>
            <w:r>
              <w:rPr>
                <w:rFonts w:ascii="宋体" w:hAnsi="宋体"/>
                <w:spacing w:val="-18"/>
                <w:sz w:val="28"/>
                <w:szCs w:val="28"/>
              </w:rPr>
              <w:t>副 标 题</w:t>
            </w:r>
          </w:p>
        </w:tc>
        <w:tc>
          <w:tcPr>
            <w:tcW w:w="5607" w:type="dxa"/>
            <w:gridSpan w:val="3"/>
            <w:tcBorders>
              <w:top w:val="single" w:color="auto" w:sz="4" w:space="0"/>
              <w:bottom w:val="single" w:color="auto" w:sz="4" w:space="0"/>
            </w:tcBorders>
            <w:vAlign w:val="bottom"/>
          </w:tcPr>
          <w:p w14:paraId="68917084">
            <w:pPr>
              <w:rPr>
                <w:rFonts w:ascii="宋体" w:hAnsi="宋体"/>
                <w:sz w:val="28"/>
                <w:szCs w:val="28"/>
              </w:rPr>
            </w:pPr>
          </w:p>
        </w:tc>
      </w:tr>
      <w:permEnd w:id="1"/>
      <w:tr w14:paraId="532EA6F6">
        <w:tblPrEx>
          <w:tblCellMar>
            <w:top w:w="0" w:type="dxa"/>
            <w:left w:w="108" w:type="dxa"/>
            <w:bottom w:w="0" w:type="dxa"/>
            <w:right w:w="108" w:type="dxa"/>
          </w:tblCellMar>
        </w:tblPrEx>
        <w:trPr>
          <w:trHeight w:val="848" w:hRule="atLeast"/>
          <w:jc w:val="center"/>
        </w:trPr>
        <w:tc>
          <w:tcPr>
            <w:tcW w:w="1863" w:type="dxa"/>
            <w:vAlign w:val="bottom"/>
          </w:tcPr>
          <w:p w14:paraId="5B08852C">
            <w:pPr>
              <w:rPr>
                <w:rFonts w:ascii="宋体" w:hAnsi="宋体"/>
                <w:sz w:val="28"/>
                <w:szCs w:val="28"/>
              </w:rPr>
            </w:pPr>
            <w:permStart w:id="2" w:edGrp="everyone" w:colFirst="1" w:colLast="1"/>
            <w:r>
              <w:rPr>
                <w:rFonts w:ascii="宋体" w:hAnsi="宋体"/>
                <w:sz w:val="28"/>
                <w:szCs w:val="28"/>
              </w:rPr>
              <w:t>学</w:t>
            </w:r>
            <w:r>
              <w:rPr>
                <w:rFonts w:hint="eastAsia" w:ascii="宋体" w:hAnsi="宋体"/>
                <w:sz w:val="28"/>
                <w:szCs w:val="28"/>
              </w:rPr>
              <w:t xml:space="preserve">    </w:t>
            </w:r>
            <w:r>
              <w:rPr>
                <w:rFonts w:ascii="宋体" w:hAnsi="宋体"/>
                <w:sz w:val="28"/>
                <w:szCs w:val="28"/>
              </w:rPr>
              <w:t>院</w:t>
            </w:r>
            <w:r>
              <w:rPr>
                <w:rFonts w:hint="eastAsia" w:ascii="宋体" w:hAnsi="宋体"/>
                <w:sz w:val="28"/>
                <w:szCs w:val="28"/>
              </w:rPr>
              <w:t xml:space="preserve"> </w:t>
            </w:r>
          </w:p>
        </w:tc>
        <w:tc>
          <w:tcPr>
            <w:tcW w:w="5607" w:type="dxa"/>
            <w:gridSpan w:val="3"/>
            <w:tcBorders>
              <w:top w:val="single" w:color="auto" w:sz="4" w:space="0"/>
              <w:bottom w:val="single" w:color="auto" w:sz="4" w:space="0"/>
            </w:tcBorders>
            <w:vAlign w:val="bottom"/>
          </w:tcPr>
          <w:p w14:paraId="70E9C4C5">
            <w:pPr>
              <w:spacing w:before="0" w:after="0" w:line="240" w:lineRule="auto"/>
              <w:jc w:val="center"/>
              <w:rPr>
                <w:rFonts w:ascii="宋体" w:hAnsi="宋体"/>
                <w:sz w:val="28"/>
                <w:szCs w:val="28"/>
              </w:rPr>
            </w:pPr>
            <w:r>
              <w:rPr>
                <w:rFonts w:ascii="Times New Roman" w:hAnsi="Times New Roman" w:eastAsia="宋体" w:cs="Times New Roman"/>
                <w:b w:val="0"/>
                <w:sz w:val="28"/>
              </w:rPr>
              <w:t>机械工程与机器人学院</w:t>
            </w:r>
          </w:p>
        </w:tc>
      </w:tr>
      <w:permEnd w:id="2"/>
      <w:tr w14:paraId="14C5218E">
        <w:tblPrEx>
          <w:tblCellMar>
            <w:top w:w="0" w:type="dxa"/>
            <w:left w:w="108" w:type="dxa"/>
            <w:bottom w:w="0" w:type="dxa"/>
            <w:right w:w="108" w:type="dxa"/>
          </w:tblCellMar>
        </w:tblPrEx>
        <w:trPr>
          <w:trHeight w:val="848" w:hRule="atLeast"/>
          <w:jc w:val="center"/>
        </w:trPr>
        <w:tc>
          <w:tcPr>
            <w:tcW w:w="1863" w:type="dxa"/>
            <w:vAlign w:val="bottom"/>
          </w:tcPr>
          <w:p w14:paraId="3FC80CB3">
            <w:pPr>
              <w:rPr>
                <w:rFonts w:ascii="宋体" w:hAnsi="宋体"/>
                <w:sz w:val="28"/>
                <w:szCs w:val="28"/>
              </w:rPr>
            </w:pPr>
            <w:permStart w:id="3" w:edGrp="everyone" w:colFirst="1" w:colLast="1"/>
            <w:r>
              <w:rPr>
                <w:rFonts w:ascii="宋体" w:hAnsi="宋体"/>
                <w:sz w:val="28"/>
                <w:szCs w:val="28"/>
              </w:rPr>
              <w:t>专    业</w:t>
            </w:r>
          </w:p>
        </w:tc>
        <w:tc>
          <w:tcPr>
            <w:tcW w:w="5607" w:type="dxa"/>
            <w:gridSpan w:val="3"/>
            <w:tcBorders>
              <w:top w:val="single" w:color="auto" w:sz="4" w:space="0"/>
              <w:bottom w:val="single" w:color="auto" w:sz="4" w:space="0"/>
            </w:tcBorders>
            <w:vAlign w:val="bottom"/>
          </w:tcPr>
          <w:p w14:paraId="789C06FD">
            <w:pPr>
              <w:spacing w:before="0" w:after="0" w:line="240" w:lineRule="auto"/>
              <w:jc w:val="center"/>
              <w:rPr>
                <w:rFonts w:ascii="宋体" w:hAnsi="宋体"/>
                <w:sz w:val="28"/>
                <w:szCs w:val="28"/>
              </w:rPr>
            </w:pPr>
            <w:r>
              <w:rPr>
                <w:rFonts w:ascii="Times New Roman" w:hAnsi="Times New Roman" w:eastAsia="宋体" w:cs="Times New Roman"/>
                <w:b w:val="0"/>
                <w:sz w:val="28"/>
              </w:rPr>
              <w:t>机械设计制造及其自动化</w:t>
            </w:r>
          </w:p>
        </w:tc>
      </w:tr>
      <w:permEnd w:id="3"/>
      <w:tr w14:paraId="3F37394E">
        <w:tblPrEx>
          <w:tblCellMar>
            <w:top w:w="0" w:type="dxa"/>
            <w:left w:w="108" w:type="dxa"/>
            <w:bottom w:w="0" w:type="dxa"/>
            <w:right w:w="108" w:type="dxa"/>
          </w:tblCellMar>
        </w:tblPrEx>
        <w:trPr>
          <w:trHeight w:val="848" w:hRule="atLeast"/>
          <w:jc w:val="center"/>
        </w:trPr>
        <w:tc>
          <w:tcPr>
            <w:tcW w:w="1863" w:type="dxa"/>
            <w:vAlign w:val="bottom"/>
          </w:tcPr>
          <w:p w14:paraId="69A511FC">
            <w:pPr>
              <w:rPr>
                <w:rFonts w:ascii="宋体" w:hAnsi="宋体"/>
                <w:sz w:val="28"/>
                <w:szCs w:val="28"/>
              </w:rPr>
            </w:pPr>
            <w:permStart w:id="4" w:edGrp="everyone" w:colFirst="1" w:colLast="1"/>
            <w:permStart w:id="5" w:edGrp="everyone" w:colFirst="3" w:colLast="3"/>
            <w:r>
              <w:rPr>
                <w:rFonts w:ascii="宋体" w:hAnsi="宋体"/>
                <w:sz w:val="28"/>
                <w:szCs w:val="28"/>
              </w:rPr>
              <w:t>学生姓名</w:t>
            </w:r>
          </w:p>
        </w:tc>
        <w:tc>
          <w:tcPr>
            <w:tcW w:w="1642" w:type="dxa"/>
            <w:tcBorders>
              <w:bottom w:val="single" w:color="auto" w:sz="4" w:space="0"/>
            </w:tcBorders>
            <w:vAlign w:val="bottom"/>
          </w:tcPr>
          <w:p w14:paraId="7CAFE2BC">
            <w:pPr>
              <w:spacing w:before="0" w:after="0" w:line="240" w:lineRule="auto"/>
              <w:jc w:val="center"/>
              <w:rPr>
                <w:rFonts w:ascii="宋体" w:hAnsi="宋体"/>
                <w:sz w:val="28"/>
                <w:szCs w:val="28"/>
              </w:rPr>
            </w:pPr>
            <w:r>
              <w:rPr>
                <w:rFonts w:ascii="Times New Roman" w:hAnsi="Times New Roman" w:eastAsia="宋体" w:cs="Times New Roman"/>
                <w:b w:val="0"/>
                <w:sz w:val="28"/>
              </w:rPr>
              <w:t>张卫恒</w:t>
            </w:r>
          </w:p>
        </w:tc>
        <w:tc>
          <w:tcPr>
            <w:tcW w:w="1298" w:type="dxa"/>
            <w:vAlign w:val="bottom"/>
          </w:tcPr>
          <w:p w14:paraId="029A3F9C">
            <w:pPr>
              <w:rPr>
                <w:rFonts w:ascii="宋体" w:hAnsi="宋体"/>
                <w:sz w:val="28"/>
                <w:szCs w:val="28"/>
              </w:rPr>
            </w:pPr>
            <w:r>
              <w:rPr>
                <w:rFonts w:ascii="宋体" w:hAnsi="宋体"/>
                <w:sz w:val="28"/>
                <w:szCs w:val="28"/>
              </w:rPr>
              <w:t>学 号</w:t>
            </w:r>
          </w:p>
        </w:tc>
        <w:tc>
          <w:tcPr>
            <w:tcW w:w="2667" w:type="dxa"/>
            <w:tcBorders>
              <w:bottom w:val="single" w:color="auto" w:sz="4" w:space="0"/>
            </w:tcBorders>
            <w:vAlign w:val="bottom"/>
          </w:tcPr>
          <w:p w14:paraId="7286FA24">
            <w:pPr>
              <w:spacing w:before="0" w:after="0" w:line="240" w:lineRule="auto"/>
              <w:jc w:val="center"/>
              <w:rPr>
                <w:rFonts w:ascii="宋体" w:hAnsi="宋体"/>
                <w:sz w:val="28"/>
                <w:szCs w:val="28"/>
              </w:rPr>
            </w:pPr>
            <w:r>
              <w:rPr>
                <w:rFonts w:ascii="Times New Roman" w:hAnsi="Times New Roman" w:eastAsia="宋体" w:cs="Times New Roman"/>
                <w:b w:val="0"/>
                <w:sz w:val="28"/>
              </w:rPr>
              <w:t>2352407</w:t>
            </w:r>
          </w:p>
        </w:tc>
      </w:tr>
      <w:permEnd w:id="4"/>
      <w:permEnd w:id="5"/>
      <w:tr w14:paraId="055FFB75">
        <w:tblPrEx>
          <w:tblCellMar>
            <w:top w:w="0" w:type="dxa"/>
            <w:left w:w="108" w:type="dxa"/>
            <w:bottom w:w="0" w:type="dxa"/>
            <w:right w:w="108" w:type="dxa"/>
          </w:tblCellMar>
        </w:tblPrEx>
        <w:trPr>
          <w:trHeight w:val="848" w:hRule="atLeast"/>
          <w:jc w:val="center"/>
        </w:trPr>
        <w:tc>
          <w:tcPr>
            <w:tcW w:w="1863" w:type="dxa"/>
            <w:vAlign w:val="bottom"/>
          </w:tcPr>
          <w:p w14:paraId="449E4A6A">
            <w:pPr>
              <w:ind w:firstLine="560"/>
              <w:rPr>
                <w:sz w:val="28"/>
                <w:szCs w:val="28"/>
              </w:rPr>
            </w:pPr>
          </w:p>
          <w:p w14:paraId="07999FA0">
            <w:pPr>
              <w:ind w:firstLine="560"/>
              <w:rPr>
                <w:sz w:val="28"/>
                <w:szCs w:val="28"/>
              </w:rPr>
            </w:pPr>
          </w:p>
          <w:p w14:paraId="2B8D6BCF">
            <w:pPr>
              <w:ind w:firstLine="560"/>
              <w:rPr>
                <w:sz w:val="28"/>
                <w:szCs w:val="28"/>
              </w:rPr>
            </w:pPr>
          </w:p>
          <w:p w14:paraId="6B6D9DE4">
            <w:pPr>
              <w:ind w:firstLine="560"/>
              <w:rPr>
                <w:sz w:val="28"/>
                <w:szCs w:val="28"/>
              </w:rPr>
            </w:pPr>
          </w:p>
        </w:tc>
        <w:tc>
          <w:tcPr>
            <w:tcW w:w="1642" w:type="dxa"/>
            <w:tcBorders>
              <w:top w:val="single" w:color="auto" w:sz="4" w:space="0"/>
            </w:tcBorders>
            <w:vAlign w:val="bottom"/>
          </w:tcPr>
          <w:p w14:paraId="674F2EC9">
            <w:pPr>
              <w:ind w:firstLine="560"/>
              <w:jc w:val="center"/>
              <w:rPr>
                <w:sz w:val="28"/>
                <w:szCs w:val="28"/>
              </w:rPr>
            </w:pPr>
          </w:p>
        </w:tc>
        <w:tc>
          <w:tcPr>
            <w:tcW w:w="1298" w:type="dxa"/>
            <w:vAlign w:val="bottom"/>
          </w:tcPr>
          <w:p w14:paraId="63C2B1B4">
            <w:pPr>
              <w:ind w:firstLine="560"/>
              <w:jc w:val="center"/>
              <w:rPr>
                <w:sz w:val="28"/>
                <w:szCs w:val="28"/>
              </w:rPr>
            </w:pPr>
          </w:p>
        </w:tc>
        <w:tc>
          <w:tcPr>
            <w:tcW w:w="2667" w:type="dxa"/>
            <w:vAlign w:val="bottom"/>
          </w:tcPr>
          <w:p w14:paraId="3F283AAE">
            <w:pPr>
              <w:ind w:firstLine="560"/>
              <w:jc w:val="center"/>
              <w:rPr>
                <w:sz w:val="28"/>
                <w:szCs w:val="28"/>
              </w:rPr>
            </w:pPr>
          </w:p>
        </w:tc>
      </w:tr>
    </w:tbl>
    <w:p w14:paraId="4E3E6D9A">
      <w:pPr>
        <w:ind w:firstLine="600"/>
        <w:rPr>
          <w:rFonts w:hint="eastAsia" w:ascii="黑体" w:eastAsia="黑体"/>
          <w:sz w:val="30"/>
        </w:rPr>
      </w:pPr>
    </w:p>
    <w:p w14:paraId="4BFF8C54">
      <w:pPr>
        <w:ind w:firstLine="600"/>
        <w:rPr>
          <w:rFonts w:hint="eastAsia" w:ascii="黑体" w:eastAsia="黑体"/>
          <w:sz w:val="30"/>
        </w:rPr>
      </w:pPr>
    </w:p>
    <w:p w14:paraId="25B75520">
      <w:pPr>
        <w:ind w:firstLine="600"/>
        <w:rPr>
          <w:rFonts w:hint="eastAsia" w:ascii="黑体" w:eastAsia="黑体"/>
          <w:sz w:val="30"/>
        </w:rPr>
      </w:pPr>
    </w:p>
    <w:p w14:paraId="0549619A">
      <w:pPr>
        <w:ind w:firstLine="600"/>
        <w:rPr>
          <w:rFonts w:hint="eastAsia" w:ascii="黑体" w:eastAsia="黑体"/>
          <w:sz w:val="30"/>
        </w:rPr>
      </w:pPr>
    </w:p>
    <w:p w14:paraId="6B321487">
      <w:pPr>
        <w:ind w:firstLine="600"/>
        <w:rPr>
          <w:rFonts w:hint="eastAsia" w:ascii="黑体" w:eastAsia="黑体"/>
          <w:sz w:val="30"/>
        </w:rPr>
      </w:pPr>
    </w:p>
    <w:tbl>
      <w:tblPr>
        <w:tblStyle w:val="5"/>
        <w:tblW w:w="0" w:type="auto"/>
        <w:jc w:val="center"/>
        <w:tblLayout w:type="fixed"/>
        <w:tblCellMar>
          <w:top w:w="0" w:type="dxa"/>
          <w:left w:w="108" w:type="dxa"/>
          <w:bottom w:w="0" w:type="dxa"/>
          <w:right w:w="108" w:type="dxa"/>
        </w:tblCellMar>
      </w:tblPr>
      <w:tblGrid>
        <w:gridCol w:w="1126"/>
        <w:gridCol w:w="850"/>
        <w:gridCol w:w="727"/>
        <w:gridCol w:w="446"/>
        <w:gridCol w:w="629"/>
        <w:gridCol w:w="466"/>
      </w:tblGrid>
      <w:tr w14:paraId="612BED1A">
        <w:tblPrEx>
          <w:tblCellMar>
            <w:top w:w="0" w:type="dxa"/>
            <w:left w:w="108" w:type="dxa"/>
            <w:bottom w:w="0" w:type="dxa"/>
            <w:right w:w="108" w:type="dxa"/>
          </w:tblCellMar>
        </w:tblPrEx>
        <w:trPr>
          <w:trHeight w:val="439" w:hRule="atLeast"/>
          <w:jc w:val="center"/>
        </w:trPr>
        <w:tc>
          <w:tcPr>
            <w:tcW w:w="1126" w:type="dxa"/>
            <w:tcBorders>
              <w:bottom w:val="single" w:color="auto" w:sz="4" w:space="0"/>
            </w:tcBorders>
            <w:vAlign w:val="bottom"/>
          </w:tcPr>
          <w:p w14:paraId="7B4A7919">
            <w:pPr>
              <w:spacing w:before="0" w:after="0" w:line="240" w:lineRule="auto"/>
              <w:jc w:val="center"/>
              <w:rPr>
                <w:rFonts w:hint="eastAsia" w:ascii="宋体" w:hAnsi="宋体"/>
                <w:sz w:val="28"/>
                <w:szCs w:val="28"/>
              </w:rPr>
            </w:pPr>
            <w:permStart w:id="6" w:edGrp="everyone" w:colFirst="0" w:colLast="0"/>
            <w:permStart w:id="7" w:edGrp="everyone" w:colFirst="2" w:colLast="2"/>
            <w:permStart w:id="8" w:edGrp="everyone" w:colFirst="4" w:colLast="4"/>
            <w:r>
              <w:rPr>
                <w:rFonts w:ascii="Times New Roman" w:hAnsi="Times New Roman" w:eastAsia="宋体" w:cs="Times New Roman"/>
                <w:b w:val="0"/>
                <w:sz w:val="28"/>
              </w:rPr>
              <w:t>2026</w:t>
            </w:r>
          </w:p>
        </w:tc>
        <w:tc>
          <w:tcPr>
            <w:tcW w:w="850" w:type="dxa"/>
            <w:vAlign w:val="bottom"/>
          </w:tcPr>
          <w:p w14:paraId="7314B03C">
            <w:pPr>
              <w:jc w:val="center"/>
              <w:rPr>
                <w:rFonts w:hint="eastAsia" w:ascii="宋体" w:hAnsi="宋体"/>
                <w:sz w:val="28"/>
                <w:szCs w:val="28"/>
              </w:rPr>
            </w:pPr>
            <w:r>
              <w:rPr>
                <w:rFonts w:hint="eastAsia" w:ascii="宋体" w:hAnsi="宋体"/>
                <w:sz w:val="28"/>
                <w:szCs w:val="28"/>
              </w:rPr>
              <w:t>年</w:t>
            </w:r>
          </w:p>
        </w:tc>
        <w:tc>
          <w:tcPr>
            <w:tcW w:w="727" w:type="dxa"/>
            <w:tcBorders>
              <w:bottom w:val="single" w:color="auto" w:sz="4" w:space="0"/>
            </w:tcBorders>
            <w:vAlign w:val="bottom"/>
          </w:tcPr>
          <w:p w14:paraId="7BB9ED3F">
            <w:pPr>
              <w:spacing w:before="0" w:after="0" w:line="240" w:lineRule="auto"/>
              <w:jc w:val="center"/>
              <w:rPr>
                <w:rFonts w:hint="eastAsia" w:ascii="宋体" w:hAnsi="宋体"/>
                <w:sz w:val="28"/>
                <w:szCs w:val="28"/>
              </w:rPr>
            </w:pPr>
            <w:r>
              <w:rPr>
                <w:rFonts w:ascii="Times New Roman" w:hAnsi="Times New Roman" w:eastAsia="宋体" w:cs="Times New Roman"/>
                <w:b w:val="0"/>
                <w:sz w:val="28"/>
              </w:rPr>
              <w:t>10</w:t>
            </w:r>
          </w:p>
        </w:tc>
        <w:tc>
          <w:tcPr>
            <w:tcW w:w="446" w:type="dxa"/>
            <w:vAlign w:val="bottom"/>
          </w:tcPr>
          <w:p w14:paraId="26CF890B">
            <w:pPr>
              <w:jc w:val="center"/>
              <w:rPr>
                <w:rFonts w:hint="eastAsia" w:ascii="宋体" w:hAnsi="宋体"/>
                <w:sz w:val="28"/>
                <w:szCs w:val="28"/>
              </w:rPr>
            </w:pPr>
            <w:r>
              <w:rPr>
                <w:rFonts w:hint="eastAsia" w:ascii="宋体" w:hAnsi="宋体"/>
                <w:sz w:val="28"/>
                <w:szCs w:val="28"/>
              </w:rPr>
              <w:t>月</w:t>
            </w:r>
          </w:p>
        </w:tc>
        <w:tc>
          <w:tcPr>
            <w:tcW w:w="629" w:type="dxa"/>
            <w:tcBorders>
              <w:bottom w:val="single" w:color="auto" w:sz="4" w:space="0"/>
            </w:tcBorders>
            <w:vAlign w:val="bottom"/>
          </w:tcPr>
          <w:p w14:paraId="02C927EB">
            <w:pPr>
              <w:spacing w:before="0" w:after="0" w:line="240" w:lineRule="auto"/>
              <w:jc w:val="center"/>
              <w:rPr>
                <w:rFonts w:hint="eastAsia" w:ascii="宋体" w:hAnsi="宋体"/>
                <w:sz w:val="28"/>
                <w:szCs w:val="28"/>
              </w:rPr>
            </w:pPr>
            <w:r>
              <w:rPr>
                <w:rFonts w:ascii="Times New Roman" w:hAnsi="Times New Roman" w:eastAsia="宋体" w:cs="Times New Roman"/>
                <w:b w:val="0"/>
                <w:sz w:val="28"/>
              </w:rPr>
              <w:t>9</w:t>
            </w:r>
          </w:p>
        </w:tc>
        <w:tc>
          <w:tcPr>
            <w:tcW w:w="466" w:type="dxa"/>
            <w:vAlign w:val="bottom"/>
          </w:tcPr>
          <w:p w14:paraId="7A0D0955">
            <w:pPr>
              <w:jc w:val="center"/>
              <w:rPr>
                <w:rFonts w:hint="eastAsia" w:ascii="宋体" w:hAnsi="宋体"/>
                <w:sz w:val="28"/>
                <w:szCs w:val="28"/>
              </w:rPr>
            </w:pPr>
            <w:r>
              <w:rPr>
                <w:rFonts w:hint="eastAsia" w:ascii="宋体" w:hAnsi="宋体"/>
                <w:sz w:val="28"/>
                <w:szCs w:val="28"/>
              </w:rPr>
              <w:t>日</w:t>
            </w:r>
          </w:p>
        </w:tc>
      </w:tr>
      <w:permEnd w:id="6"/>
      <w:permEnd w:id="7"/>
      <w:permEnd w:id="8"/>
    </w:tbl>
    <w:p w14:paraId="6D33EC83">
      <w:pPr>
        <w:ind w:firstLine="560"/>
        <w:rPr>
          <w:rFonts w:hint="eastAsia" w:ascii="宋体" w:hAnsi="宋体"/>
          <w:sz w:val="28"/>
          <w:szCs w:val="28"/>
        </w:rPr>
      </w:pPr>
    </w:p>
    <w:p w14:paraId="7C055745">
      <w:pPr>
        <w:spacing w:before="120" w:beforeLines="50" w:after="120" w:afterLines="50" w:line="360" w:lineRule="auto"/>
        <w:ind w:firstLine="560" w:firstLineChars="0"/>
        <w:rPr>
          <w:rFonts w:hint="eastAsia" w:ascii="楷体" w:hAnsi="宋体" w:eastAsia="楷体"/>
        </w:rPr>
      </w:pPr>
      <w:r>
        <w:rPr>
          <w:rFonts w:ascii="Times New Roman" w:hAnsi="Times New Roman" w:eastAsia="黑体" w:cs="Times New Roman"/>
          <w:b w:val="0"/>
          <w:sz w:val="28"/>
          <w:szCs w:val="28"/>
        </w:rPr>
        <w:br w:type="page"/>
      </w:r>
      <w:r>
        <w:rPr>
          <w:rFonts w:hint="eastAsia" w:ascii="Times New Roman" w:hAnsi="Times New Roman" w:eastAsia="黑体" w:cs="Times New Roman"/>
          <w:b w:val="0"/>
          <w:sz w:val="28"/>
        </w:rPr>
        <w:t>一、</w:t>
      </w:r>
      <w:permStart w:id="9" w:edGrp="everyone"/>
      <w:r>
        <w:rPr>
          <w:rFonts w:hint="eastAsia" w:ascii="Times New Roman" w:hAnsi="Times New Roman" w:eastAsia="黑体" w:cs="Times New Roman"/>
          <w:b w:val="0"/>
          <w:sz w:val="28"/>
        </w:rPr>
        <w:t>毕业论文</w:t>
      </w:r>
      <w:permEnd w:id="9"/>
      <w:r>
        <w:rPr>
          <w:rFonts w:hint="eastAsia" w:ascii="Times New Roman" w:hAnsi="Times New Roman" w:eastAsia="黑体" w:cs="Times New Roman"/>
          <w:b w:val="0"/>
          <w:sz w:val="28"/>
        </w:rPr>
        <w:t>课题背景</w:t>
      </w:r>
    </w:p>
    <w:p w14:paraId="26F346DF">
      <w:pPr>
        <w:pStyle w:val="9"/>
        <w:spacing w:before="120" w:beforeLines="50" w:after="120" w:afterLines="50" w:line="360" w:lineRule="auto"/>
        <w:ind w:firstLine="0" w:firstLineChars="0"/>
        <w:rPr>
          <w:sz w:val="24"/>
        </w:rPr>
      </w:pPr>
      <w:permStart w:id="10" w:edGrp="everyone"/>
      <w:r>
        <w:rPr>
          <w:rFonts w:hint="eastAsia" w:ascii="Times New Roman" w:hAnsi="Times New Roman" w:eastAsia="黑体" w:cs="Times New Roman"/>
          <w:b w:val="0"/>
          <w:sz w:val="24"/>
        </w:rPr>
        <w:t>1</w:t>
      </w:r>
      <w:r>
        <w:rPr>
          <w:rFonts w:ascii="Times New Roman" w:hAnsi="Times New Roman" w:eastAsia="黑体" w:cs="Times New Roman"/>
          <w:b w:val="0"/>
          <w:sz w:val="24"/>
        </w:rPr>
        <w:t>． 课题来源及研究的目的和意义</w:t>
      </w:r>
    </w:p>
    <w:p w14:paraId="0428787F">
      <w:pPr>
        <w:pStyle w:val="10"/>
        <w:spacing w:before="0" w:beforeLines="0" w:after="0" w:afterLines="0" w:line="360" w:lineRule="auto"/>
        <w:ind w:firstLine="480" w:firstLineChars="200"/>
      </w:pPr>
      <w:r>
        <w:rPr>
          <w:rFonts w:ascii="Times New Roman" w:hAnsi="Times New Roman" w:eastAsia="宋体" w:cs="Times New Roman"/>
          <w:b w:val="0"/>
          <w:sz w:val="24"/>
        </w:rPr>
        <w:t>随着“海洋强国”战略的推进，水下基础设施的安全运维对小型水下航行器提出了更高要求。《“十四五”机器人产业发展规划》</w:t>
      </w:r>
      <w:r>
        <w:rPr>
          <w:rFonts w:ascii="Times New Roman" w:hAnsi="Times New Roman" w:eastAsia="宋体" w:cs="Times New Roman"/>
          <w:b w:val="0"/>
          <w:sz w:val="24"/>
          <w:vertAlign w:val="superscript"/>
        </w:rPr>
        <w:t>[1]</w:t>
      </w:r>
      <w:r>
        <w:rPr>
          <w:rFonts w:ascii="Times New Roman" w:hAnsi="Times New Roman" w:eastAsia="宋体" w:cs="Times New Roman"/>
          <w:b w:val="0"/>
          <w:sz w:val="24"/>
        </w:rPr>
        <w:t>将水下探测、监测和作业机器人纳入特种机器人重点发展方向；《“机器人+”应用行动实施方案》</w:t>
      </w:r>
      <w:r>
        <w:rPr>
          <w:rFonts w:ascii="Times New Roman" w:hAnsi="Times New Roman" w:eastAsia="宋体" w:cs="Times New Roman"/>
          <w:b w:val="0"/>
          <w:sz w:val="24"/>
          <w:vertAlign w:val="superscript"/>
        </w:rPr>
        <w:t>[2]</w:t>
      </w:r>
      <w:r>
        <w:rPr>
          <w:rFonts w:ascii="Times New Roman" w:hAnsi="Times New Roman" w:eastAsia="宋体" w:cs="Times New Roman"/>
          <w:b w:val="0"/>
          <w:sz w:val="24"/>
        </w:rPr>
        <w:t>提出在风电场、水电站、油气管网等能源基础设施场景推广巡检、维护等机器人应用。海上风电桩基、水下大坝立面及海底能源管线等设施在长期服役过程中，需要在近壁面、狭小空间及水流扰动等工况下开展定期巡检。相较于依赖潜水员或大型水下装备的作业方式，小型遥控水下航行器（ROV）部署更为灵活，适用于近距离精细巡检等任务。但在狭小空间和近壁水流扰动条件下，航行器还需兼顾稳定悬停、精确对位观测和低速灵活机动，对运动控制精度与稳定性提出了较高要求。</w:t>
      </w:r>
    </w:p>
    <w:p w14:paraId="0557CB9A">
      <w:pPr>
        <w:pStyle w:val="10"/>
        <w:spacing w:before="0" w:beforeLines="0" w:after="0" w:afterLines="0" w:line="360" w:lineRule="auto"/>
        <w:ind w:firstLine="480" w:firstLineChars="200"/>
      </w:pPr>
      <w:r>
        <w:rPr>
          <w:rFonts w:ascii="Times New Roman" w:hAnsi="Times New Roman" w:eastAsia="宋体" w:cs="Times New Roman"/>
          <w:b w:val="0"/>
          <w:sz w:val="24"/>
        </w:rPr>
        <w:t>为满足上述近距离巡检中多方向运动、位姿调整与稳定悬停的需求，本课题考虑采用空间矢量布局的八推进器构型。该构型可通过推进器协同产生不同方向的合力与力矩，为航行器的六自由度运动控制提供执行机构基础。与此同时，多推进器配置也增加了动力学建模与控制分配的难度：在动力学层面，附加质量、水动力阻尼以及重心与浮心的相对位置等因素，会使航行器的平动与转动存在耦合关系</w:t>
      </w:r>
      <w:r>
        <w:rPr>
          <w:rFonts w:ascii="Times New Roman" w:hAnsi="Times New Roman" w:eastAsia="宋体" w:cs="Times New Roman"/>
          <w:b w:val="0"/>
          <w:sz w:val="24"/>
          <w:vertAlign w:val="superscript"/>
        </w:rPr>
        <w:t>[3]</w:t>
      </w:r>
      <w:r>
        <w:rPr>
          <w:rFonts w:ascii="Times New Roman" w:hAnsi="Times New Roman" w:eastAsia="宋体" w:cs="Times New Roman"/>
          <w:b w:val="0"/>
          <w:sz w:val="24"/>
        </w:rPr>
        <w:t>；在执行机构层面，推进器受尺寸与电机功率等条件限制，存在推力幅值上限，并可能受到响应滞后、正反转死区等非理想特性的影响。在近壁水流扰动条件下，若未能协调推进器输出并合理处理推力约束，可能出现推力饱和或控制误差增大，从而影响悬停稳定性与轨迹跟踪精度。</w:t>
      </w:r>
    </w:p>
    <w:p w14:paraId="1AB4A3B6">
      <w:pPr>
        <w:pStyle w:val="10"/>
        <w:spacing w:before="0" w:beforeLines="0" w:after="0" w:afterLines="0" w:line="360" w:lineRule="auto"/>
        <w:ind w:firstLine="480" w:firstLineChars="200"/>
      </w:pPr>
      <w:r>
        <w:rPr>
          <w:rFonts w:ascii="Times New Roman" w:hAnsi="Times New Roman" w:eastAsia="宋体" w:cs="Times New Roman"/>
          <w:b w:val="0"/>
          <w:sz w:val="24"/>
        </w:rPr>
        <w:t>对于多变量耦合及执行器受限的控制问题，常规比例—积分—微分（PID）控制结构简单、易于实现，但分通道PID控制若缺少耦合补偿及约束协调机制，可能难以同时兼顾多自由度控制精度与推进器推力限制。模型预测控制（MPC）基于系统动力学模型进行滚动优化，可在优化问题中显式纳入状态与推力约束，为多推进器受约束控制提供可行思路，但仍需兼顾模型精度与嵌入式计算的实时性。此外，控制算法的工程实现还需要相应的飞控软件与仿真验证环境。PX4作为开源飞控平台，已为部分水下航行器构型提供基本控制模式，但官方文档仍将其水下航行器支持列为实验性功能</w:t>
      </w:r>
      <w:r>
        <w:rPr>
          <w:rFonts w:ascii="Times New Roman" w:hAnsi="Times New Roman" w:eastAsia="宋体" w:cs="Times New Roman"/>
          <w:b w:val="0"/>
          <w:sz w:val="24"/>
          <w:vertAlign w:val="superscript"/>
        </w:rPr>
        <w:t>[4]</w:t>
      </w:r>
      <w:r>
        <w:rPr>
          <w:rFonts w:ascii="Times New Roman" w:hAnsi="Times New Roman" w:eastAsia="宋体" w:cs="Times New Roman"/>
          <w:b w:val="0"/>
          <w:sz w:val="24"/>
        </w:rPr>
        <w:t>。因此，面向具体航行器的动力学特性及推进器约束，在PX4相关环境中开展MPC算法的适配与验证具有研究价值。</w:t>
      </w:r>
    </w:p>
    <w:p w14:paraId="4100DB2C">
      <w:pPr>
        <w:pStyle w:val="9"/>
        <w:tabs>
          <w:tab w:val="left" w:pos="7083"/>
        </w:tabs>
        <w:spacing w:before="120" w:beforeLines="50" w:after="120" w:afterLines="50" w:line="360" w:lineRule="auto"/>
        <w:ind w:firstLine="0" w:firstLineChars="0"/>
        <w:rPr>
          <w:rFonts w:hint="eastAsia"/>
          <w:sz w:val="24"/>
        </w:rPr>
      </w:pPr>
      <w:r>
        <w:rPr>
          <w:rFonts w:ascii="Times New Roman" w:hAnsi="Times New Roman" w:eastAsia="黑体" w:cs="Times New Roman"/>
          <w:b w:val="0"/>
          <w:sz w:val="24"/>
        </w:rPr>
        <w:t xml:space="preserve">2． </w:t>
      </w:r>
      <w:r>
        <w:rPr>
          <w:rFonts w:hint="eastAsia" w:ascii="Times New Roman" w:hAnsi="Times New Roman" w:eastAsia="黑体" w:cs="Times New Roman"/>
          <w:b w:val="0"/>
          <w:sz w:val="24"/>
        </w:rPr>
        <w:t>国内外在该方向的研究现状和发展趋势</w:t>
      </w:r>
    </w:p>
    <w:p w14:paraId="255B64BD">
      <w:pPr>
        <w:pStyle w:val="10"/>
        <w:spacing w:before="120" w:beforeLines="50" w:after="120" w:afterLines="50" w:line="360" w:lineRule="auto"/>
        <w:ind w:firstLine="480" w:firstLineChars="200"/>
      </w:pPr>
      <w:r>
        <w:rPr>
          <w:rFonts w:ascii="Times New Roman" w:hAnsi="Times New Roman" w:eastAsia="黑体" w:cs="Times New Roman"/>
          <w:b w:val="0"/>
          <w:sz w:val="24"/>
        </w:rPr>
        <w:t>2.1 水下航行器动力学建模与参数辨识研究现状</w:t>
      </w:r>
    </w:p>
    <w:p w14:paraId="1C306219">
      <w:pPr>
        <w:pStyle w:val="10"/>
        <w:spacing w:before="0" w:beforeLines="0" w:after="0" w:afterLines="0" w:line="360" w:lineRule="auto"/>
        <w:ind w:firstLine="480" w:firstLineChars="200"/>
      </w:pPr>
      <w:r>
        <w:rPr>
          <w:rFonts w:ascii="Times New Roman" w:hAnsi="Times New Roman" w:eastAsia="宋体" w:cs="Times New Roman"/>
          <w:b w:val="0"/>
          <w:sz w:val="24"/>
        </w:rPr>
        <w:t>水下航行器工作于高密度、强扰动的黏性流体环境中，空间运动伴随显著的非线性流固耦合动力学效应。与空中飞行器相比，其附加质量、黏性阻尼及动压非线性耦合随航速与姿态剧</w:t>
      </w:r>
      <w:bookmarkStart w:id="0" w:name="_GoBack"/>
      <w:bookmarkEnd w:id="0"/>
      <w:r>
        <w:rPr>
          <w:rFonts w:ascii="Times New Roman" w:hAnsi="Times New Roman" w:eastAsia="宋体" w:cs="Times New Roman"/>
          <w:b w:val="0"/>
          <w:sz w:val="24"/>
        </w:rPr>
        <w:t>烈变化。控制导向动力学模型追求在受限嵌入式算力下获得充分的预测精度与工况泛化能力，学界历经了经典机理建模、数值模拟、物理试验辨识及科学机器学习等演进阶段。</w:t>
      </w:r>
    </w:p>
    <w:p w14:paraId="4CB9B395">
      <w:pPr>
        <w:pStyle w:val="10"/>
        <w:spacing w:before="0" w:beforeLines="0" w:after="0" w:afterLines="0" w:line="360" w:lineRule="auto"/>
        <w:ind w:firstLine="480" w:firstLineChars="200"/>
      </w:pPr>
      <w:r>
        <w:rPr>
          <w:rFonts w:ascii="Times New Roman" w:hAnsi="Times New Roman" w:eastAsia="宋体" w:cs="Times New Roman"/>
          <w:b w:val="0"/>
          <w:sz w:val="24"/>
        </w:rPr>
        <w:t>在机理建模方面，Fossen</w:t>
      </w:r>
      <w:r>
        <w:rPr>
          <w:rFonts w:ascii="Times New Roman" w:hAnsi="Times New Roman" w:eastAsia="宋体" w:cs="Times New Roman"/>
          <w:b w:val="0"/>
          <w:sz w:val="24"/>
          <w:vertAlign w:val="superscript"/>
        </w:rPr>
        <w:t>[5]</w:t>
      </w:r>
      <w:r>
        <w:rPr>
          <w:rFonts w:ascii="Times New Roman" w:hAnsi="Times New Roman" w:eastAsia="宋体" w:cs="Times New Roman"/>
          <w:b w:val="0"/>
          <w:sz w:val="24"/>
        </w:rPr>
        <w:t>建立了海洋航行器六自由度非线性动力学的统一理论框架；严卫生等</w:t>
      </w:r>
      <w:r>
        <w:rPr>
          <w:rFonts w:ascii="Times New Roman" w:hAnsi="Times New Roman" w:eastAsia="宋体" w:cs="Times New Roman"/>
          <w:b w:val="0"/>
          <w:sz w:val="24"/>
          <w:vertAlign w:val="superscript"/>
        </w:rPr>
        <w:t>[6]</w:t>
      </w:r>
      <w:r>
        <w:rPr>
          <w:rFonts w:ascii="Times New Roman" w:hAnsi="Times New Roman" w:eastAsia="宋体" w:cs="Times New Roman"/>
          <w:b w:val="0"/>
          <w:sz w:val="24"/>
        </w:rPr>
        <w:t>推进了相关理论在水下航行器运动控制中的系统应用。该机理框架将航行器运动分解为惯性系位姿与固连系速度，通过雅可比矩阵确立运动学关系，并将空间动力学受力解构为刚体惯性项、附加质量项、科里奥利与向心力项、黏性阻尼项、静水重浮力恢复力矩及推进器控制输入六大核心分量</w:t>
      </w:r>
      <w:r>
        <w:rPr>
          <w:rFonts w:ascii="Times New Roman" w:hAnsi="Times New Roman" w:eastAsia="宋体" w:cs="Times New Roman"/>
          <w:b w:val="0"/>
          <w:sz w:val="24"/>
          <w:vertAlign w:val="superscript"/>
        </w:rPr>
        <w:t>[3,5]</w:t>
      </w:r>
      <w:r>
        <w:rPr>
          <w:rFonts w:ascii="Times New Roman" w:hAnsi="Times New Roman" w:eastAsia="宋体" w:cs="Times New Roman"/>
          <w:b w:val="0"/>
          <w:sz w:val="24"/>
        </w:rPr>
        <w:t>。附加质量反映流体加速反作用，阻尼涵盖线性摩擦与脱体涡二次阻力，重浮力构成自稳力矩，其非对角元素揭示了六自由度运动的强耦合本质。然而，水动力参数极度依赖几何外形与附着设备，纯解析计算难以求得精确数值，机理完备性与在线轻量化存在内在矛盾。</w:t>
      </w:r>
    </w:p>
    <w:p w14:paraId="3310FD08">
      <w:pPr>
        <w:pStyle w:val="10"/>
        <w:spacing w:before="0" w:beforeLines="0" w:after="0" w:afterLines="0" w:line="360" w:lineRule="auto"/>
        <w:ind w:firstLine="480" w:firstLineChars="200"/>
      </w:pPr>
      <w:r>
        <w:rPr>
          <w:rFonts w:ascii="Times New Roman" w:hAnsi="Times New Roman" w:eastAsia="宋体" w:cs="Times New Roman"/>
          <w:b w:val="0"/>
          <w:sz w:val="24"/>
        </w:rPr>
        <w:t>在构型化建模与基准验证方面，Prestero</w:t>
      </w:r>
      <w:r>
        <w:rPr>
          <w:rFonts w:ascii="Times New Roman" w:hAnsi="Times New Roman" w:eastAsia="宋体" w:cs="Times New Roman"/>
          <w:b w:val="0"/>
          <w:sz w:val="24"/>
          <w:vertAlign w:val="superscript"/>
        </w:rPr>
        <w:t>[7]</w:t>
      </w:r>
      <w:r>
        <w:rPr>
          <w:rFonts w:ascii="Times New Roman" w:hAnsi="Times New Roman" w:eastAsia="宋体" w:cs="Times New Roman"/>
          <w:b w:val="0"/>
          <w:sz w:val="24"/>
        </w:rPr>
        <w:t>针对流线型REMUS航行器建立并实验校验了六自由度仿真模型，形成了回转体动力学建模方法；Caccia等</w:t>
      </w:r>
      <w:r>
        <w:rPr>
          <w:rFonts w:ascii="Times New Roman" w:hAnsi="Times New Roman" w:eastAsia="宋体" w:cs="Times New Roman"/>
          <w:b w:val="0"/>
          <w:sz w:val="24"/>
          <w:vertAlign w:val="superscript"/>
        </w:rPr>
        <w:t>[8]</w:t>
      </w:r>
      <w:r>
        <w:rPr>
          <w:rFonts w:ascii="Times New Roman" w:hAnsi="Times New Roman" w:eastAsia="宋体" w:cs="Times New Roman"/>
          <w:b w:val="0"/>
          <w:sz w:val="24"/>
        </w:rPr>
        <w:t>针对开架式可变构型ROV开展参数辨识，揭示了推进器尾流及艇体水动力干扰的显著影响；Smallwood与Whitcomb</w:t>
      </w:r>
      <w:r>
        <w:rPr>
          <w:rFonts w:ascii="Times New Roman" w:hAnsi="Times New Roman" w:eastAsia="宋体" w:cs="Times New Roman"/>
          <w:b w:val="0"/>
          <w:sz w:val="24"/>
          <w:vertAlign w:val="superscript"/>
        </w:rPr>
        <w:t>[9]</w:t>
      </w:r>
      <w:r>
        <w:rPr>
          <w:rFonts w:ascii="Times New Roman" w:hAnsi="Times New Roman" w:eastAsia="宋体" w:cs="Times New Roman"/>
          <w:b w:val="0"/>
          <w:sz w:val="24"/>
        </w:rPr>
        <w:t>通过动力定位实验验证了动力学模型在低速定位中的核心价值。近年来，von Benzon等</w:t>
      </w:r>
      <w:r>
        <w:rPr>
          <w:rFonts w:ascii="Times New Roman" w:hAnsi="Times New Roman" w:eastAsia="宋体" w:cs="Times New Roman"/>
          <w:b w:val="0"/>
          <w:sz w:val="24"/>
          <w:vertAlign w:val="superscript"/>
        </w:rPr>
        <w:t>[10]</w:t>
      </w:r>
      <w:r>
        <w:rPr>
          <w:rFonts w:ascii="Times New Roman" w:hAnsi="Times New Roman" w:eastAsia="宋体" w:cs="Times New Roman"/>
          <w:b w:val="0"/>
          <w:sz w:val="24"/>
        </w:rPr>
        <w:t>基于Fossen框架构建了BlueROV2开源基准仿真模型，系统集成水动力与推进器动力学，并通过试验标定部分参数，为八推进器构型提供了对比平台。然而，其标称参数绑定于特定水槽配重环境，无法直接移植为物理样机的控制模型。</w:t>
      </w:r>
    </w:p>
    <w:p w14:paraId="28B5AEE1">
      <w:pPr>
        <w:pStyle w:val="10"/>
        <w:spacing w:before="0" w:beforeLines="0" w:after="0" w:afterLines="0" w:line="360" w:lineRule="auto"/>
        <w:ind w:firstLine="480" w:firstLineChars="200"/>
      </w:pPr>
      <w:r>
        <w:rPr>
          <w:rFonts w:ascii="Times New Roman" w:hAnsi="Times New Roman" w:eastAsia="宋体" w:cs="Times New Roman"/>
          <w:b w:val="0"/>
          <w:sz w:val="24"/>
        </w:rPr>
        <w:t>针对未知水动力参数的获取，学界主要采用计算流体力学（CFD）数值模拟与水池物理试验两条路线。高婷等</w:t>
      </w:r>
      <w:r>
        <w:rPr>
          <w:rFonts w:ascii="Times New Roman" w:hAnsi="Times New Roman" w:eastAsia="宋体" w:cs="Times New Roman"/>
          <w:b w:val="0"/>
          <w:sz w:val="24"/>
          <w:vertAlign w:val="superscript"/>
        </w:rPr>
        <w:t>[11]</w:t>
      </w:r>
      <w:r>
        <w:rPr>
          <w:rFonts w:ascii="Times New Roman" w:hAnsi="Times New Roman" w:eastAsia="宋体" w:cs="Times New Roman"/>
          <w:b w:val="0"/>
          <w:sz w:val="24"/>
        </w:rPr>
        <w:t>基于数值计算研究了水动力系数，为参数初值估计提供了依据。CFD能呈现流场动压分布，但对网格模型敏感且计算耗时漫长。在物理试验方面，Chin与Lau</w:t>
      </w:r>
      <w:r>
        <w:rPr>
          <w:rFonts w:ascii="Times New Roman" w:hAnsi="Times New Roman" w:eastAsia="宋体" w:cs="Times New Roman"/>
          <w:b w:val="0"/>
          <w:sz w:val="24"/>
          <w:vertAlign w:val="superscript"/>
        </w:rPr>
        <w:t>[12]</w:t>
      </w:r>
      <w:r>
        <w:rPr>
          <w:rFonts w:ascii="Times New Roman" w:hAnsi="Times New Roman" w:eastAsia="宋体" w:cs="Times New Roman"/>
          <w:b w:val="0"/>
          <w:sz w:val="24"/>
        </w:rPr>
        <w:t>测定了低速阻尼特性；Ross等</w:t>
      </w:r>
      <w:r>
        <w:rPr>
          <w:rFonts w:ascii="Times New Roman" w:hAnsi="Times New Roman" w:eastAsia="宋体" w:cs="Times New Roman"/>
          <w:b w:val="0"/>
          <w:sz w:val="24"/>
          <w:vertAlign w:val="superscript"/>
        </w:rPr>
        <w:t>[13]</w:t>
      </w:r>
      <w:r>
        <w:rPr>
          <w:rFonts w:ascii="Times New Roman" w:hAnsi="Times New Roman" w:eastAsia="宋体" w:cs="Times New Roman"/>
          <w:b w:val="0"/>
          <w:sz w:val="24"/>
        </w:rPr>
        <w:t>利用平面运动机构与衰减试验提取了附加质量与阻尼矩阵；Avila与Adamowski</w:t>
      </w:r>
      <w:r>
        <w:rPr>
          <w:rFonts w:ascii="Times New Roman" w:hAnsi="Times New Roman" w:eastAsia="宋体" w:cs="Times New Roman"/>
          <w:b w:val="0"/>
          <w:sz w:val="24"/>
          <w:vertAlign w:val="superscript"/>
        </w:rPr>
        <w:t>[14]</w:t>
      </w:r>
      <w:r>
        <w:rPr>
          <w:rFonts w:ascii="Times New Roman" w:hAnsi="Times New Roman" w:eastAsia="宋体" w:cs="Times New Roman"/>
          <w:b w:val="0"/>
          <w:sz w:val="24"/>
        </w:rPr>
        <w:t>开展了开架式ROV耦合参数辨识试验；Harris等</w:t>
      </w:r>
      <w:r>
        <w:rPr>
          <w:rFonts w:ascii="Times New Roman" w:hAnsi="Times New Roman" w:eastAsia="宋体" w:cs="Times New Roman"/>
          <w:b w:val="0"/>
          <w:sz w:val="24"/>
          <w:vertAlign w:val="superscript"/>
        </w:rPr>
        <w:t>[15]</w:t>
      </w:r>
      <w:r>
        <w:rPr>
          <w:rFonts w:ascii="Times New Roman" w:hAnsi="Times New Roman" w:eastAsia="宋体" w:cs="Times New Roman"/>
          <w:b w:val="0"/>
          <w:sz w:val="24"/>
        </w:rPr>
        <w:t>提出稳定零空间自适应辨识方法，将本体与执行机构动态纳入统一架构。试验辨识贴合实体但受尺度效应与噪声制约。两相结合已成为获取基准模型的重要途径。</w:t>
      </w:r>
    </w:p>
    <w:p w14:paraId="1186AB9F">
      <w:pPr>
        <w:pStyle w:val="10"/>
        <w:spacing w:before="0" w:beforeLines="0" w:after="0" w:afterLines="0" w:line="360" w:lineRule="auto"/>
        <w:ind w:firstLine="480" w:firstLineChars="200"/>
      </w:pPr>
      <w:r>
        <w:rPr>
          <w:rFonts w:ascii="Times New Roman" w:hAnsi="Times New Roman" w:eastAsia="宋体" w:cs="Times New Roman"/>
          <w:b w:val="0"/>
          <w:sz w:val="24"/>
        </w:rPr>
        <w:t>随着数据驱动技术的发展，从运动数据中提取非线性动力学特征逐渐成为水动力建模的重要路径。Brunton等</w:t>
      </w:r>
      <w:r>
        <w:rPr>
          <w:rFonts w:ascii="Times New Roman" w:hAnsi="Times New Roman" w:eastAsia="宋体" w:cs="Times New Roman"/>
          <w:b w:val="0"/>
          <w:sz w:val="24"/>
          <w:vertAlign w:val="superscript"/>
        </w:rPr>
        <w:t>[16]</w:t>
      </w:r>
      <w:r>
        <w:rPr>
          <w:rFonts w:ascii="Times New Roman" w:hAnsi="Times New Roman" w:eastAsia="宋体" w:cs="Times New Roman"/>
          <w:b w:val="0"/>
          <w:sz w:val="24"/>
        </w:rPr>
        <w:t>提出的非线性动力学稀疏辨识（SINDy）利用候选函数库与稀疏回归自动筛选主导动态项。在候选库中嵌入速度线性项、二次阻尼项及交叉耦合项，可在形式上与Fossen阻尼结构对齐，规避无先验黑箱拟合；但其实际应用受制于微分噪声放大、基函数共线性及低激励特征误选，数学层面的稀疏项并不等同于物理真实机理，仍须在独立工况下进行多步时域预测检验。</w:t>
      </w:r>
    </w:p>
    <w:p w14:paraId="55ABE85B">
      <w:pPr>
        <w:pStyle w:val="10"/>
        <w:spacing w:before="0" w:beforeLines="0" w:after="0" w:afterLines="0" w:line="360" w:lineRule="auto"/>
        <w:ind w:firstLine="480" w:firstLineChars="200"/>
      </w:pPr>
      <w:r>
        <w:rPr>
          <w:rFonts w:ascii="Times New Roman" w:hAnsi="Times New Roman" w:eastAsia="宋体" w:cs="Times New Roman"/>
          <w:b w:val="0"/>
          <w:sz w:val="24"/>
        </w:rPr>
        <w:t>为融合物理定律，Raissi等</w:t>
      </w:r>
      <w:r>
        <w:rPr>
          <w:rFonts w:ascii="Times New Roman" w:hAnsi="Times New Roman" w:eastAsia="宋体" w:cs="Times New Roman"/>
          <w:b w:val="0"/>
          <w:sz w:val="24"/>
          <w:vertAlign w:val="superscript"/>
        </w:rPr>
        <w:t>[17]</w:t>
      </w:r>
      <w:r>
        <w:rPr>
          <w:rFonts w:ascii="Times New Roman" w:hAnsi="Times New Roman" w:eastAsia="宋体" w:cs="Times New Roman"/>
          <w:b w:val="0"/>
          <w:sz w:val="24"/>
        </w:rPr>
        <w:t>提出物理信息神经网络（PINN），将方程残差融入损失函数，使网络在稀疏样本下反演参数；但软惩罚难以严格施加推力硬约束，且梯度调节敏感。Chen等</w:t>
      </w:r>
      <w:r>
        <w:rPr>
          <w:rFonts w:ascii="Times New Roman" w:hAnsi="Times New Roman" w:eastAsia="宋体" w:cs="Times New Roman"/>
          <w:b w:val="0"/>
          <w:sz w:val="24"/>
          <w:vertAlign w:val="superscript"/>
        </w:rPr>
        <w:t>[18]</w:t>
      </w:r>
      <w:r>
        <w:rPr>
          <w:rFonts w:ascii="Times New Roman" w:hAnsi="Times New Roman" w:eastAsia="宋体" w:cs="Times New Roman"/>
          <w:b w:val="0"/>
          <w:sz w:val="24"/>
        </w:rPr>
        <w:t>提出的神经常微分方程（Neural ODE）以连续流积分拟合动态，但多步预测容差累积易导致相位漂移，且时延难以满足硬实时要求。在虚实迁移方面，Liu等</w:t>
      </w:r>
      <w:r>
        <w:rPr>
          <w:rFonts w:ascii="Times New Roman" w:hAnsi="Times New Roman" w:eastAsia="宋体" w:cs="Times New Roman"/>
          <w:b w:val="0"/>
          <w:sz w:val="24"/>
          <w:vertAlign w:val="superscript"/>
        </w:rPr>
        <w:t>[19]</w:t>
      </w:r>
      <w:r>
        <w:rPr>
          <w:rFonts w:ascii="Times New Roman" w:hAnsi="Times New Roman" w:eastAsia="宋体" w:cs="Times New Roman"/>
          <w:b w:val="0"/>
          <w:sz w:val="24"/>
        </w:rPr>
        <w:t>基于Koopman算子实现了在线水动力辨识。综观动力学建模，机理模型解释性强但存在未建模动态，纯数据驱动精度高但泛化能力弱；以机理动力学为骨架、叠加物理约束数据项的灰箱建模范式，在解释性、预测精度与算力开销间取得了平衡。</w:t>
      </w:r>
    </w:p>
    <w:p w14:paraId="4E06C110">
      <w:pPr>
        <w:pStyle w:val="10"/>
        <w:spacing w:before="120" w:beforeLines="50" w:after="120" w:afterLines="50" w:line="360" w:lineRule="auto"/>
        <w:ind w:firstLine="480" w:firstLineChars="200"/>
      </w:pPr>
      <w:r>
        <w:rPr>
          <w:rFonts w:ascii="Times New Roman" w:hAnsi="Times New Roman" w:eastAsia="黑体" w:cs="Times New Roman"/>
          <w:b w:val="0"/>
          <w:sz w:val="24"/>
        </w:rPr>
        <w:t>2.2 多推进器受约束运动控制与推力分配研究现状</w:t>
      </w:r>
    </w:p>
    <w:p w14:paraId="5092964C">
      <w:pPr>
        <w:pStyle w:val="10"/>
        <w:spacing w:before="0" w:beforeLines="0" w:after="0" w:afterLines="0" w:line="360" w:lineRule="auto"/>
        <w:ind w:firstLine="480" w:firstLineChars="200"/>
      </w:pPr>
      <w:r>
        <w:rPr>
          <w:rFonts w:ascii="Times New Roman" w:hAnsi="Times New Roman" w:eastAsia="宋体" w:cs="Times New Roman"/>
          <w:b w:val="0"/>
          <w:sz w:val="24"/>
        </w:rPr>
        <w:t>多推进器空间矢量布局赋予航行器六自由度全向运动能力。但在控制执行中，六维期望广义力与八路推进器面临冗余多解性、正反推力非对称、幅值饱和及变化率受限等多重非线性。控制系统的核心难点，已从单轴误差衰减演变为多变量运动预测、多物理极限约束与冗余推力执行分配之间的联立协同问题。</w:t>
      </w:r>
    </w:p>
    <w:p w14:paraId="619FC075">
      <w:pPr>
        <w:pStyle w:val="10"/>
        <w:spacing w:before="0" w:beforeLines="0" w:after="0" w:afterLines="0" w:line="360" w:lineRule="auto"/>
        <w:ind w:firstLine="480" w:firstLineChars="200"/>
      </w:pPr>
      <w:r>
        <w:rPr>
          <w:rFonts w:ascii="Times New Roman" w:hAnsi="Times New Roman" w:eastAsia="宋体" w:cs="Times New Roman"/>
          <w:b w:val="0"/>
          <w:sz w:val="24"/>
        </w:rPr>
        <w:t>在经典反馈与鲁棒控制方面，Yuh</w:t>
      </w:r>
      <w:r>
        <w:rPr>
          <w:rFonts w:ascii="Times New Roman" w:hAnsi="Times New Roman" w:eastAsia="宋体" w:cs="Times New Roman"/>
          <w:b w:val="0"/>
          <w:sz w:val="24"/>
          <w:vertAlign w:val="superscript"/>
        </w:rPr>
        <w:t>[20]</w:t>
      </w:r>
      <w:r>
        <w:rPr>
          <w:rFonts w:ascii="Times New Roman" w:hAnsi="Times New Roman" w:eastAsia="宋体" w:cs="Times New Roman"/>
          <w:b w:val="0"/>
          <w:sz w:val="24"/>
        </w:rPr>
        <w:t>系统综述了水下机器人经典与智能控制技术；朱大奇和孙兵</w:t>
      </w:r>
      <w:r>
        <w:rPr>
          <w:rFonts w:ascii="Times New Roman" w:hAnsi="Times New Roman" w:eastAsia="宋体" w:cs="Times New Roman"/>
          <w:b w:val="0"/>
          <w:sz w:val="24"/>
          <w:vertAlign w:val="superscript"/>
        </w:rPr>
        <w:t>[21]</w:t>
      </w:r>
      <w:r>
        <w:rPr>
          <w:rFonts w:ascii="Times New Roman" w:hAnsi="Times New Roman" w:eastAsia="宋体" w:cs="Times New Roman"/>
          <w:b w:val="0"/>
          <w:sz w:val="24"/>
        </w:rPr>
        <w:t>梳理了PID、滑模与自适应控制的演进历程。PID控制因紧凑易部署仍是ROV定深与自稳基石，但独立PID无法解耦强烈的多轴水动力耦合。针对模型摄动与水流扰动，Yoerger与Slotine</w:t>
      </w:r>
      <w:r>
        <w:rPr>
          <w:rFonts w:ascii="Times New Roman" w:hAnsi="Times New Roman" w:eastAsia="宋体" w:cs="Times New Roman"/>
          <w:b w:val="0"/>
          <w:sz w:val="24"/>
          <w:vertAlign w:val="superscript"/>
        </w:rPr>
        <w:t>[22]</w:t>
      </w:r>
      <w:r>
        <w:rPr>
          <w:rFonts w:ascii="Times New Roman" w:hAnsi="Times New Roman" w:eastAsia="宋体" w:cs="Times New Roman"/>
          <w:b w:val="0"/>
          <w:sz w:val="24"/>
        </w:rPr>
        <w:t>、Healey与Lienard</w:t>
      </w:r>
      <w:r>
        <w:rPr>
          <w:rFonts w:ascii="Times New Roman" w:hAnsi="Times New Roman" w:eastAsia="宋体" w:cs="Times New Roman"/>
          <w:b w:val="0"/>
          <w:sz w:val="24"/>
          <w:vertAlign w:val="superscript"/>
        </w:rPr>
        <w:t>[23]</w:t>
      </w:r>
      <w:r>
        <w:rPr>
          <w:rFonts w:ascii="Times New Roman" w:hAnsi="Times New Roman" w:eastAsia="宋体" w:cs="Times New Roman"/>
          <w:b w:val="0"/>
          <w:sz w:val="24"/>
        </w:rPr>
        <w:t>分别设计了滑模及多变量滑模控制器，抑制系统不确定性；Chu等</w:t>
      </w:r>
      <w:r>
        <w:rPr>
          <w:rFonts w:ascii="Times New Roman" w:hAnsi="Times New Roman" w:eastAsia="宋体" w:cs="Times New Roman"/>
          <w:b w:val="0"/>
          <w:sz w:val="24"/>
          <w:vertAlign w:val="superscript"/>
        </w:rPr>
        <w:t>[24]</w:t>
      </w:r>
      <w:r>
        <w:rPr>
          <w:rFonts w:ascii="Times New Roman" w:hAnsi="Times New Roman" w:eastAsia="宋体" w:cs="Times New Roman"/>
          <w:b w:val="0"/>
          <w:sz w:val="24"/>
        </w:rPr>
        <w:t>进一步将推进器非线性与输入饱和纳入自适应跟踪框架。然而，此类方法处理物理约束主要依赖事后抗饱和或限幅截断，难以在决策层面主动协调多执行器的联合约束可行域。</w:t>
      </w:r>
    </w:p>
    <w:p w14:paraId="0A7E8DC6">
      <w:pPr>
        <w:pStyle w:val="10"/>
        <w:spacing w:before="0" w:beforeLines="0" w:after="0" w:afterLines="0" w:line="360" w:lineRule="auto"/>
        <w:ind w:firstLine="480" w:firstLineChars="200"/>
      </w:pPr>
      <w:r>
        <w:rPr>
          <w:rFonts w:ascii="Times New Roman" w:hAnsi="Times New Roman" w:eastAsia="宋体" w:cs="Times New Roman"/>
          <w:b w:val="0"/>
          <w:sz w:val="24"/>
        </w:rPr>
        <w:t>为显式处理多轴强耦合与物理约束，模型预测控制（MPC）逐渐成为水下控制的重要方向。MPC以离散模型为核心，在时域内滚动优化跟踪误差与控制增量，显式处理速度、姿态与广义力边界。张磊等</w:t>
      </w:r>
      <w:r>
        <w:rPr>
          <w:rFonts w:ascii="Times New Roman" w:hAnsi="Times New Roman" w:eastAsia="宋体" w:cs="Times New Roman"/>
          <w:b w:val="0"/>
          <w:sz w:val="24"/>
          <w:vertAlign w:val="superscript"/>
        </w:rPr>
        <w:t>[25]</w:t>
      </w:r>
      <w:r>
        <w:rPr>
          <w:rFonts w:ascii="Times New Roman" w:hAnsi="Times New Roman" w:eastAsia="宋体" w:cs="Times New Roman"/>
          <w:b w:val="0"/>
          <w:sz w:val="24"/>
        </w:rPr>
        <w:t>系统综述了水下航行器MPC研究进展；Heshmati-Alamdari等</w:t>
      </w:r>
      <w:r>
        <w:rPr>
          <w:rFonts w:ascii="Times New Roman" w:hAnsi="Times New Roman" w:eastAsia="宋体" w:cs="Times New Roman"/>
          <w:b w:val="0"/>
          <w:sz w:val="24"/>
          <w:vertAlign w:val="superscript"/>
        </w:rPr>
        <w:t>[26,27]</w:t>
      </w:r>
      <w:r>
        <w:rPr>
          <w:rFonts w:ascii="Times New Roman" w:hAnsi="Times New Roman" w:eastAsia="宋体" w:cs="Times New Roman"/>
          <w:b w:val="0"/>
          <w:sz w:val="24"/>
        </w:rPr>
        <w:t>针对狭限空间与流场扰动工况，构建了鲁棒MPC轨迹跟踪方法，展现了处理多轴强耦合与安全边界的优势。在实现上，线性MPC转化为标准二次规划（QP），求解规整且实时性高，但在大机动工况下模型失真；非线性MPC保留完整动态，但非凸优化耗时波动与局部极值风险限制了机载部署。因此，工程选型须综合权衡时域预测精度、约束违例率与求解耗时。</w:t>
      </w:r>
    </w:p>
    <w:p w14:paraId="27703A47">
      <w:pPr>
        <w:pStyle w:val="10"/>
        <w:spacing w:before="0" w:beforeLines="0" w:after="0" w:afterLines="0" w:line="360" w:lineRule="auto"/>
        <w:ind w:firstLine="480" w:firstLineChars="200"/>
      </w:pPr>
      <w:r>
        <w:rPr>
          <w:rFonts w:ascii="Times New Roman" w:hAnsi="Times New Roman" w:eastAsia="宋体" w:cs="Times New Roman"/>
          <w:b w:val="0"/>
          <w:sz w:val="24"/>
        </w:rPr>
        <w:t>在控制分配机制方面，核心任务是将上层六维期望合力与力矩映射解算为八台推进器的推力指令。在理想线性假设下，经典方法采用无约束二范数最小化准则，通过几何配置矩阵求取Moore–Penrose伪逆解析解</w:t>
      </w:r>
      <w:r>
        <w:rPr>
          <w:rFonts w:ascii="Times New Roman" w:hAnsi="Times New Roman" w:eastAsia="宋体" w:cs="Times New Roman"/>
          <w:b w:val="0"/>
          <w:sz w:val="24"/>
          <w:vertAlign w:val="superscript"/>
        </w:rPr>
        <w:t>[28]</w:t>
      </w:r>
      <w:r>
        <w:rPr>
          <w:rFonts w:ascii="Times New Roman" w:hAnsi="Times New Roman" w:eastAsia="宋体" w:cs="Times New Roman"/>
          <w:b w:val="0"/>
          <w:sz w:val="24"/>
        </w:rPr>
        <w:t>。伪逆法在线运行仅需单次矩阵乘法，计算开销极低；但其脱离了执行机构的物理约束边界，当期望力较大时推力极易超出电机正反向极限。若在解算后简单采用事后截断限幅，将打破空间多轴分力平衡，导致实际合力与力矩发生严重畸变，诱发闭环姿态失稳。</w:t>
      </w:r>
    </w:p>
    <w:p w14:paraId="190E2F9B">
      <w:pPr>
        <w:pStyle w:val="10"/>
        <w:spacing w:before="0" w:beforeLines="0" w:after="0" w:afterLines="0" w:line="360" w:lineRule="auto"/>
        <w:ind w:firstLine="480" w:firstLineChars="200"/>
      </w:pPr>
      <w:r>
        <w:rPr>
          <w:rFonts w:ascii="Times New Roman" w:hAnsi="Times New Roman" w:eastAsia="宋体" w:cs="Times New Roman"/>
          <w:b w:val="0"/>
          <w:sz w:val="24"/>
        </w:rPr>
        <w:t>为克服截断导致的力矩畸变，Johansen与Fossen</w:t>
      </w:r>
      <w:r>
        <w:rPr>
          <w:rFonts w:ascii="Times New Roman" w:hAnsi="Times New Roman" w:eastAsia="宋体" w:cs="Times New Roman"/>
          <w:b w:val="0"/>
          <w:sz w:val="24"/>
          <w:vertAlign w:val="superscript"/>
        </w:rPr>
        <w:t>[28]</w:t>
      </w:r>
      <w:r>
        <w:rPr>
          <w:rFonts w:ascii="Times New Roman" w:hAnsi="Times New Roman" w:eastAsia="宋体" w:cs="Times New Roman"/>
          <w:b w:val="0"/>
          <w:sz w:val="24"/>
        </w:rPr>
        <w:t>系统总结了控制分配理论与优化方法；Bodson</w:t>
      </w:r>
      <w:r>
        <w:rPr>
          <w:rFonts w:ascii="Times New Roman" w:hAnsi="Times New Roman" w:eastAsia="宋体" w:cs="Times New Roman"/>
          <w:b w:val="0"/>
          <w:sz w:val="24"/>
          <w:vertAlign w:val="superscript"/>
        </w:rPr>
        <w:t>[29]</w:t>
      </w:r>
      <w:r>
        <w:rPr>
          <w:rFonts w:ascii="Times New Roman" w:hAnsi="Times New Roman" w:eastAsia="宋体" w:cs="Times New Roman"/>
          <w:b w:val="0"/>
          <w:sz w:val="24"/>
        </w:rPr>
        <w:t>对比了多种受约束分配算法；Härkegård</w:t>
      </w:r>
      <w:r>
        <w:rPr>
          <w:rFonts w:ascii="Times New Roman" w:hAnsi="Times New Roman" w:eastAsia="宋体" w:cs="Times New Roman"/>
          <w:b w:val="0"/>
          <w:sz w:val="24"/>
          <w:vertAlign w:val="superscript"/>
        </w:rPr>
        <w:t>[30]</w:t>
      </w:r>
      <w:r>
        <w:rPr>
          <w:rFonts w:ascii="Times New Roman" w:hAnsi="Times New Roman" w:eastAsia="宋体" w:cs="Times New Roman"/>
          <w:b w:val="0"/>
          <w:sz w:val="24"/>
        </w:rPr>
        <w:t>奠定了理论基础并提出针对二次规划的高效有效集求解算法。国内学者程卫平等</w:t>
      </w:r>
      <w:r>
        <w:rPr>
          <w:rFonts w:ascii="Times New Roman" w:hAnsi="Times New Roman" w:eastAsia="宋体" w:cs="Times New Roman"/>
          <w:b w:val="0"/>
          <w:sz w:val="24"/>
          <w:vertAlign w:val="superscript"/>
        </w:rPr>
        <w:t>[31]</w:t>
      </w:r>
      <w:r>
        <w:rPr>
          <w:rFonts w:ascii="Times New Roman" w:hAnsi="Times New Roman" w:eastAsia="宋体" w:cs="Times New Roman"/>
          <w:b w:val="0"/>
          <w:sz w:val="24"/>
        </w:rPr>
        <w:t>采用可行方向法研究了推力分配；孙功武等</w:t>
      </w:r>
      <w:r>
        <w:rPr>
          <w:rFonts w:ascii="Times New Roman" w:hAnsi="Times New Roman" w:eastAsia="宋体" w:cs="Times New Roman"/>
          <w:b w:val="0"/>
          <w:sz w:val="24"/>
          <w:vertAlign w:val="superscript"/>
        </w:rPr>
        <w:t>[32]</w:t>
      </w:r>
      <w:r>
        <w:rPr>
          <w:rFonts w:ascii="Times New Roman" w:hAnsi="Times New Roman" w:eastAsia="宋体" w:cs="Times New Roman"/>
          <w:b w:val="0"/>
          <w:sz w:val="24"/>
        </w:rPr>
        <w:t>提出了分级优化分配策略；Li等</w:t>
      </w:r>
      <w:r>
        <w:rPr>
          <w:rFonts w:ascii="Times New Roman" w:hAnsi="Times New Roman" w:eastAsia="宋体" w:cs="Times New Roman"/>
          <w:b w:val="0"/>
          <w:sz w:val="24"/>
          <w:vertAlign w:val="superscript"/>
        </w:rPr>
        <w:t>[33]</w:t>
      </w:r>
      <w:r>
        <w:rPr>
          <w:rFonts w:ascii="Times New Roman" w:hAnsi="Times New Roman" w:eastAsia="宋体" w:cs="Times New Roman"/>
          <w:b w:val="0"/>
          <w:sz w:val="24"/>
        </w:rPr>
        <w:t>在冗余架构下研究了推力重构与容错控制。有约束QP框架协调跟踪残差、能耗与指令平滑度，并将正反向推力极限及变化率限制在可行凸多面体内。采用有效集法求解，可保证推力逼近饱和时优先牺牲次要自由度以维系主要力矩平衡，维持闭环方向稳定性。但QP迭代复杂度高于解析法，须确保毫秒级周期内的硬实时收敛。</w:t>
      </w:r>
    </w:p>
    <w:p w14:paraId="2188AF2E">
      <w:pPr>
        <w:pStyle w:val="10"/>
        <w:spacing w:before="0" w:beforeLines="0" w:after="0" w:afterLines="0" w:line="360" w:lineRule="auto"/>
        <w:ind w:firstLine="480" w:firstLineChars="200"/>
      </w:pPr>
      <w:r>
        <w:rPr>
          <w:rFonts w:ascii="Times New Roman" w:hAnsi="Times New Roman" w:eastAsia="宋体" w:cs="Times New Roman"/>
          <w:b w:val="0"/>
          <w:sz w:val="24"/>
        </w:rPr>
        <w:t>从运动控制与推力分配的协同机制来看，现有研究主要形成了分层解耦与一体化协同两类路径。分层控制由上层计算期望广义力、下层分配器确定实际推力，具备模块解耦清晰、便于工程调试的优势；但在大机动工况下，若期望力超出推进器极限凸多面体，底层受限推力产生的分配残差将以未预测强扰动形式注入闭环，诱发超调或震荡。一体化协同直接将八路推力作为预测控制决策变量联合求解，消除了层间失配，但决策维数倍增导致机载计算负担急剧上升。因此，兼顾计算预算与分配一致性的轻量分层协同策略（如引入可达推力集保守约束与分配残差动态补偿），构成了兼顾控制品质与工程可行性的关键切入点。</w:t>
      </w:r>
    </w:p>
    <w:p w14:paraId="4DE00E8E">
      <w:pPr>
        <w:pStyle w:val="10"/>
        <w:spacing w:before="120" w:beforeLines="50" w:after="120" w:afterLines="50" w:line="360" w:lineRule="auto"/>
        <w:ind w:firstLine="480" w:firstLineChars="200"/>
      </w:pPr>
      <w:r>
        <w:rPr>
          <w:rFonts w:ascii="Times New Roman" w:hAnsi="Times New Roman" w:eastAsia="黑体" w:cs="Times New Roman"/>
          <w:b w:val="0"/>
          <w:sz w:val="24"/>
        </w:rPr>
        <w:t>2.3 PX4开源飞控水下适配与闭环仿真验证现状</w:t>
      </w:r>
    </w:p>
    <w:p w14:paraId="0F3E7A71">
      <w:pPr>
        <w:pStyle w:val="10"/>
        <w:spacing w:before="0" w:beforeLines="0" w:after="0" w:afterLines="0" w:line="360" w:lineRule="auto"/>
        <w:ind w:firstLine="480" w:firstLineChars="200"/>
      </w:pPr>
      <w:r>
        <w:rPr>
          <w:rFonts w:ascii="Times New Roman" w:hAnsi="Times New Roman" w:eastAsia="宋体" w:cs="Times New Roman"/>
          <w:b w:val="0"/>
          <w:sz w:val="24"/>
        </w:rPr>
        <w:t>控制算法走向工程装备须经历自驾仪软件栈集成与闭环验证。自驾仪任务调度时序、通信延迟、离散PWM映射及传感器噪声等非理想因素在算法设计中常被忽略，使系统级闭环集成成为工程化不可或缺的验证屏障。围绕开源自驾仪的研究主要涉及飞控微内核架构、控制混控机制、水下机型功能适配及软件在环仿真验证等方面。</w:t>
      </w:r>
    </w:p>
    <w:p w14:paraId="2CD22FC2">
      <w:pPr>
        <w:pStyle w:val="10"/>
        <w:spacing w:before="0" w:beforeLines="0" w:after="0" w:afterLines="0" w:line="360" w:lineRule="auto"/>
        <w:ind w:firstLine="480" w:firstLineChars="200"/>
      </w:pPr>
      <w:r>
        <w:rPr>
          <w:rFonts w:ascii="Times New Roman" w:hAnsi="Times New Roman" w:eastAsia="宋体" w:cs="Times New Roman"/>
          <w:b w:val="0"/>
          <w:sz w:val="24"/>
        </w:rPr>
        <w:t>在飞控软件架构方面，Meier等</w:t>
      </w:r>
      <w:r>
        <w:rPr>
          <w:rFonts w:ascii="Times New Roman" w:hAnsi="Times New Roman" w:eastAsia="宋体" w:cs="Times New Roman"/>
          <w:b w:val="0"/>
          <w:sz w:val="24"/>
          <w:vertAlign w:val="superscript"/>
        </w:rPr>
        <w:t>[34]</w:t>
      </w:r>
      <w:r>
        <w:rPr>
          <w:rFonts w:ascii="Times New Roman" w:hAnsi="Times New Roman" w:eastAsia="宋体" w:cs="Times New Roman"/>
          <w:b w:val="0"/>
          <w:sz w:val="24"/>
        </w:rPr>
        <w:t>主导开发的PX4自驾仪采用基于微内核的模块化多线程架构。传感器采集、状态估计（EKF2）、位姿解算及混控输出等模块依托uORB发布—订阅总线实现进程解耦与异步交互，提供了清晰的软件接口。针对多执行器控制，PX4原生集成了Control Allocator模块</w:t>
      </w:r>
      <w:r>
        <w:rPr>
          <w:rFonts w:ascii="Times New Roman" w:hAnsi="Times New Roman" w:eastAsia="宋体" w:cs="Times New Roman"/>
          <w:b w:val="0"/>
          <w:sz w:val="24"/>
          <w:vertAlign w:val="superscript"/>
        </w:rPr>
        <w:t>[35]</w:t>
      </w:r>
      <w:r>
        <w:rPr>
          <w:rFonts w:ascii="Times New Roman" w:hAnsi="Times New Roman" w:eastAsia="宋体" w:cs="Times New Roman"/>
          <w:b w:val="0"/>
          <w:sz w:val="24"/>
        </w:rPr>
        <w:t>，依据效能矩阵完成混控解算并内置基础限幅逻辑。然而，该通用混控模块主要面向常规旋翼设计，算法本质上局限于加权伪逆与分轴简单截断，缺乏针对八推进器矢量构型施加非对称推力极限与变化率约束的在线二次规划求解器。因此，在开源飞控内引入高阶优化分配时，须重构执行机构驱动链并设计平滑回退保护机制。</w:t>
      </w:r>
    </w:p>
    <w:p w14:paraId="434FEA6A">
      <w:pPr>
        <w:pStyle w:val="10"/>
        <w:spacing w:before="0" w:beforeLines="0" w:after="0" w:afterLines="0" w:line="360" w:lineRule="auto"/>
        <w:ind w:firstLine="480" w:firstLineChars="200"/>
      </w:pPr>
      <w:r>
        <w:rPr>
          <w:rFonts w:ascii="Times New Roman" w:hAnsi="Times New Roman" w:eastAsia="宋体" w:cs="Times New Roman"/>
          <w:b w:val="0"/>
          <w:sz w:val="24"/>
        </w:rPr>
        <w:t>在水下机型官方支持方面，PX4目前仍将无人水下航行器（UUV）框架标注为实验性支持</w:t>
      </w:r>
      <w:r>
        <w:rPr>
          <w:rFonts w:ascii="Times New Roman" w:hAnsi="Times New Roman" w:eastAsia="宋体" w:cs="Times New Roman"/>
          <w:b w:val="0"/>
          <w:sz w:val="24"/>
          <w:vertAlign w:val="superscript"/>
        </w:rPr>
        <w:t>[4]</w:t>
      </w:r>
      <w:r>
        <w:rPr>
          <w:rFonts w:ascii="Times New Roman" w:hAnsi="Times New Roman" w:eastAsia="宋体" w:cs="Times New Roman"/>
          <w:b w:val="0"/>
          <w:sz w:val="24"/>
        </w:rPr>
        <w:t>。根据官方BlueROV2 Heavy构型文档</w:t>
      </w:r>
      <w:r>
        <w:rPr>
          <w:rFonts w:ascii="Times New Roman" w:hAnsi="Times New Roman" w:eastAsia="宋体" w:cs="Times New Roman"/>
          <w:b w:val="0"/>
          <w:sz w:val="24"/>
          <w:vertAlign w:val="superscript"/>
        </w:rPr>
        <w:t>[36]</w:t>
      </w:r>
      <w:r>
        <w:rPr>
          <w:rFonts w:ascii="Times New Roman" w:hAnsi="Times New Roman" w:eastAsia="宋体" w:cs="Times New Roman"/>
          <w:b w:val="0"/>
          <w:sz w:val="24"/>
        </w:rPr>
        <w:t>，系统提供了手动、自稳、特技、定深与定点五种标准控制模式。其中，Manual为遥控开环映射；Stabilized引入横滚与俯仰姿态自稳；Acro面向角速度操纵；Altitude通过深度计实现定深闭环；Position利用DVL或USBL实现定点悬停。由此可见，PX4水下固件具备成熟的基础反馈自稳工程基础，但控制逻辑仍以单轴解耦PID为主，尚未构建起面向六自由度动力学前馈、多变量显式约束预测与推力实时优化分配的高阶控制架构。</w:t>
      </w:r>
    </w:p>
    <w:p w14:paraId="6B591C77">
      <w:pPr>
        <w:pStyle w:val="10"/>
        <w:spacing w:before="0" w:beforeLines="0" w:after="0" w:afterLines="0" w:line="360" w:lineRule="auto"/>
        <w:ind w:firstLine="480" w:firstLineChars="200"/>
      </w:pPr>
      <w:r>
        <w:rPr>
          <w:rFonts w:ascii="Times New Roman" w:hAnsi="Times New Roman" w:eastAsia="宋体" w:cs="Times New Roman"/>
          <w:b w:val="0"/>
          <w:sz w:val="24"/>
        </w:rPr>
        <w:t>针对高阶算法在自驾仪上的部署接入，PX4提供了固件原生集成与Offboard伴随计算机外部控制两条路径</w:t>
      </w:r>
      <w:r>
        <w:rPr>
          <w:rFonts w:ascii="Times New Roman" w:hAnsi="Times New Roman" w:eastAsia="宋体" w:cs="Times New Roman"/>
          <w:b w:val="0"/>
          <w:sz w:val="24"/>
          <w:vertAlign w:val="superscript"/>
        </w:rPr>
        <w:t>[37]</w:t>
      </w:r>
      <w:r>
        <w:rPr>
          <w:rFonts w:ascii="Times New Roman" w:hAnsi="Times New Roman" w:eastAsia="宋体" w:cs="Times New Roman"/>
          <w:b w:val="0"/>
          <w:sz w:val="24"/>
        </w:rPr>
        <w:t>。Offboard模式通过MAVLink协议或ROS 2微客户端接收工控机下发的高层运动指令，由伴随计算机承担预测与规划优化求解。该方案能发挥边缘算力优势，但通信链路时延抖动、外部优化与底层飞控调度的时序异步，以及定位偶发丢包会对闭环产生冲击，且外部指令无法直接越权驱动底层PWM。相比之下，固件原生集成具备链路极短、硬实时确定性高的优势，但受制于微处理器算力及调度周期时延上界。因此，建立软硬件语义一致的高可靠接入接口，构成了平台适配的核心内容。</w:t>
      </w:r>
    </w:p>
    <w:p w14:paraId="460E7BCB">
      <w:pPr>
        <w:pStyle w:val="10"/>
        <w:spacing w:before="0" w:beforeLines="0" w:after="0" w:afterLines="0" w:line="360" w:lineRule="auto"/>
        <w:ind w:firstLine="480" w:firstLineChars="200"/>
      </w:pPr>
      <w:r>
        <w:rPr>
          <w:rFonts w:ascii="Times New Roman" w:hAnsi="Times New Roman" w:eastAsia="宋体" w:cs="Times New Roman"/>
          <w:b w:val="0"/>
          <w:sz w:val="24"/>
        </w:rPr>
        <w:t>在仿真验证手段方面，水下航行器控制经历了从离线数学仿真向软件在环仿真（SITL）演进的历程。以Simulink为代表的离线仿真（如von Benzon等</w:t>
      </w:r>
      <w:r>
        <w:rPr>
          <w:rFonts w:ascii="Times New Roman" w:hAnsi="Times New Roman" w:eastAsia="宋体" w:cs="Times New Roman"/>
          <w:b w:val="0"/>
          <w:sz w:val="24"/>
          <w:vertAlign w:val="superscript"/>
        </w:rPr>
        <w:t>[10]</w:t>
      </w:r>
      <w:r>
        <w:rPr>
          <w:rFonts w:ascii="Times New Roman" w:hAnsi="Times New Roman" w:eastAsia="宋体" w:cs="Times New Roman"/>
          <w:b w:val="0"/>
          <w:sz w:val="24"/>
        </w:rPr>
        <w:t>基准模型）直观高效，但脱离真实飞控工程环境，忽略了报文抖动、调度时序与PWM量化等非理想因素。PX4与高保真物理引擎联合构筑的SITL平台，将编译生成的真实飞控固件直接挂载于闭环回路中。环境依托Gazebo流体动力学插件施加附加质量、高阶阻尼、浮重力矩与推进器死区非线性，并通过时间锁步机制保证时钟严格对齐。SITL能够以实机完全相同的代码路径对轨迹跟踪精度、约束违例率、推力分配残差及通信时延进行全链路评估，为实装试验提供了高置信度的虚拟测试基准。</w:t>
      </w:r>
    </w:p>
    <w:p w14:paraId="1DC21423">
      <w:pPr>
        <w:pStyle w:val="10"/>
        <w:spacing w:before="0" w:beforeLines="0" w:after="0" w:afterLines="0" w:line="360" w:lineRule="auto"/>
        <w:ind w:firstLine="480" w:firstLineChars="200"/>
      </w:pPr>
      <w:r>
        <w:rPr>
          <w:rFonts w:ascii="Times New Roman" w:hAnsi="Times New Roman" w:eastAsia="宋体" w:cs="Times New Roman"/>
          <w:b w:val="0"/>
          <w:sz w:val="24"/>
        </w:rPr>
        <w:t>综上所述，国内外围绕水下全向航行器的运动控制研究，呈现出机理—数据融合建模、预测控制与推力优化分配协同、控制算法—开源飞控全链路软件在环验证三大演进趋势。然而面向八推进器矢量布局的工程应用需求，现有研究在模型精度与嵌入式算力的矛盾、推力饱和工况下分层控制与分配残差的动态失配、以及高阶优化算法向开源飞控移植时的通信时序与硬实时约束等方面，仍存在显著的跨层技术瓶颈。鉴于此，本课题立足BlueROV2 Heavy八推进器全向航行器，以水动力灰箱建模、受约束分层协同控制优化及PX4飞控软件在环验证的有机贯通为切入点展开研究，相关具体研究内容与实施方案将在后文展开详细论述。</w:t>
      </w:r>
    </w:p>
    <w:permEnd w:id="10"/>
    <w:p w14:paraId="6385DA06">
      <w:pPr>
        <w:spacing w:before="120" w:beforeLines="50" w:after="120" w:afterLines="50" w:line="360" w:lineRule="auto"/>
        <w:ind w:firstLine="560" w:firstLineChars="0"/>
        <w:rPr>
          <w:rFonts w:hint="eastAsia" w:ascii="黑体" w:eastAsia="黑体"/>
          <w:sz w:val="28"/>
        </w:rPr>
      </w:pPr>
      <w:r>
        <w:rPr>
          <w:rFonts w:hint="eastAsia" w:ascii="Times New Roman" w:hAnsi="Times New Roman" w:eastAsia="黑体" w:cs="Times New Roman"/>
          <w:b w:val="0"/>
          <w:sz w:val="28"/>
        </w:rPr>
        <w:t>二、</w:t>
      </w:r>
      <w:permStart w:id="11" w:edGrp="everyone"/>
      <w:r>
        <w:rPr>
          <w:rFonts w:hint="eastAsia" w:ascii="Times New Roman" w:hAnsi="Times New Roman" w:eastAsia="黑体" w:cs="Times New Roman"/>
          <w:b w:val="0"/>
          <w:sz w:val="28"/>
        </w:rPr>
        <w:t>毕业论文</w:t>
      </w:r>
      <w:permEnd w:id="11"/>
      <w:r>
        <w:rPr>
          <w:rFonts w:hint="eastAsia" w:ascii="Times New Roman" w:hAnsi="Times New Roman" w:eastAsia="黑体" w:cs="Times New Roman"/>
          <w:b w:val="0"/>
          <w:sz w:val="28"/>
        </w:rPr>
        <w:t>方案介绍</w:t>
      </w:r>
    </w:p>
    <w:p w14:paraId="2109F3BF">
      <w:pPr>
        <w:pStyle w:val="9"/>
        <w:spacing w:before="120" w:beforeLines="50" w:after="120" w:afterLines="50" w:line="360" w:lineRule="auto"/>
        <w:ind w:firstLine="0" w:firstLineChars="0"/>
        <w:rPr>
          <w:rFonts w:ascii="黑体" w:hAnsi="黑体"/>
          <w:sz w:val="24"/>
        </w:rPr>
      </w:pPr>
      <w:permStart w:id="12" w:edGrp="everyone"/>
      <w:r>
        <w:rPr>
          <w:rFonts w:hint="eastAsia" w:ascii="Times New Roman" w:hAnsi="Times New Roman" w:eastAsia="黑体" w:cs="Times New Roman"/>
          <w:b w:val="0"/>
          <w:sz w:val="24"/>
        </w:rPr>
        <w:t>1</w:t>
      </w:r>
      <w:r>
        <w:rPr>
          <w:rFonts w:ascii="Times New Roman" w:hAnsi="Times New Roman" w:eastAsia="黑体" w:cs="Times New Roman"/>
          <w:b w:val="0"/>
          <w:sz w:val="24"/>
        </w:rPr>
        <w:t xml:space="preserve">． </w:t>
      </w:r>
      <w:r>
        <w:rPr>
          <w:rFonts w:hint="eastAsia" w:ascii="Times New Roman" w:hAnsi="Times New Roman" w:eastAsia="黑体" w:cs="Times New Roman"/>
          <w:b w:val="0"/>
          <w:sz w:val="24"/>
        </w:rPr>
        <w:t>主要研究内容</w:t>
      </w:r>
    </w:p>
    <w:p w14:paraId="245A6C1C">
      <w:pPr>
        <w:pStyle w:val="10"/>
        <w:spacing w:before="0" w:beforeLines="0" w:after="0" w:afterLines="0" w:line="360" w:lineRule="auto"/>
        <w:ind w:firstLine="480" w:firstLineChars="200"/>
      </w:pPr>
      <w:r>
        <w:rPr>
          <w:rFonts w:ascii="Times New Roman" w:hAnsi="Times New Roman" w:eastAsia="宋体" w:cs="Times New Roman"/>
          <w:b w:val="0"/>
          <w:sz w:val="24"/>
        </w:rPr>
        <w:t>（待后续阶段撰写）</w:t>
      </w:r>
    </w:p>
    <w:p w14:paraId="315FC749">
      <w:pPr>
        <w:pStyle w:val="9"/>
        <w:spacing w:before="120" w:beforeLines="50" w:after="120" w:afterLines="50" w:line="360" w:lineRule="auto"/>
        <w:ind w:firstLine="0" w:firstLineChars="0"/>
        <w:rPr>
          <w:rFonts w:ascii="黑体" w:hAnsi="黑体"/>
          <w:sz w:val="24"/>
        </w:rPr>
      </w:pPr>
      <w:r>
        <w:rPr>
          <w:rFonts w:hint="eastAsia" w:ascii="Times New Roman" w:hAnsi="Times New Roman" w:eastAsia="黑体" w:cs="Times New Roman"/>
          <w:b w:val="0"/>
          <w:sz w:val="24"/>
        </w:rPr>
        <w:t>2</w:t>
      </w:r>
      <w:r>
        <w:rPr>
          <w:rFonts w:ascii="Times New Roman" w:hAnsi="Times New Roman" w:eastAsia="黑体" w:cs="Times New Roman"/>
          <w:b w:val="0"/>
          <w:sz w:val="24"/>
        </w:rPr>
        <w:t xml:space="preserve">． </w:t>
      </w:r>
      <w:r>
        <w:rPr>
          <w:rFonts w:hint="eastAsia" w:ascii="Times New Roman" w:hAnsi="Times New Roman" w:eastAsia="黑体" w:cs="Times New Roman"/>
          <w:b w:val="0"/>
          <w:sz w:val="24"/>
        </w:rPr>
        <w:t>研究方案</w:t>
      </w:r>
    </w:p>
    <w:p w14:paraId="770A9263">
      <w:pPr>
        <w:pStyle w:val="10"/>
        <w:spacing w:before="0" w:beforeLines="0" w:after="0" w:afterLines="0" w:line="360" w:lineRule="auto"/>
        <w:ind w:firstLine="480" w:firstLineChars="200"/>
      </w:pPr>
      <w:r>
        <w:rPr>
          <w:rFonts w:ascii="Times New Roman" w:hAnsi="Times New Roman" w:eastAsia="宋体" w:cs="Times New Roman"/>
          <w:b w:val="0"/>
          <w:sz w:val="24"/>
        </w:rPr>
        <w:t>（待后续阶段撰写）</w:t>
      </w:r>
    </w:p>
    <w:p w14:paraId="6D664144">
      <w:pPr>
        <w:pStyle w:val="9"/>
        <w:spacing w:before="120" w:beforeLines="50" w:after="120" w:afterLines="50" w:line="360" w:lineRule="auto"/>
        <w:ind w:firstLine="0" w:firstLineChars="0"/>
        <w:rPr>
          <w:rFonts w:hint="eastAsia" w:ascii="黑体" w:hAnsi="黑体"/>
          <w:sz w:val="24"/>
        </w:rPr>
      </w:pPr>
      <w:r>
        <w:rPr>
          <w:rFonts w:hint="eastAsia" w:ascii="Times New Roman" w:hAnsi="Times New Roman" w:eastAsia="黑体" w:cs="Times New Roman"/>
          <w:b w:val="0"/>
          <w:sz w:val="24"/>
        </w:rPr>
        <w:t>3</w:t>
      </w:r>
      <w:r>
        <w:rPr>
          <w:rFonts w:ascii="Times New Roman" w:hAnsi="Times New Roman" w:eastAsia="黑体" w:cs="Times New Roman"/>
          <w:b w:val="0"/>
          <w:sz w:val="24"/>
        </w:rPr>
        <w:t xml:space="preserve">． </w:t>
      </w:r>
      <w:r>
        <w:rPr>
          <w:rFonts w:hint="eastAsia" w:ascii="Times New Roman" w:hAnsi="Times New Roman" w:eastAsia="黑体" w:cs="Times New Roman"/>
          <w:b w:val="0"/>
          <w:sz w:val="24"/>
        </w:rPr>
        <w:t>工作</w:t>
      </w:r>
      <w:r>
        <w:rPr>
          <w:rFonts w:ascii="Times New Roman" w:hAnsi="Times New Roman" w:eastAsia="黑体" w:cs="Times New Roman"/>
          <w:b w:val="0"/>
          <w:sz w:val="24"/>
        </w:rPr>
        <w:t>进度安排</w:t>
      </w:r>
    </w:p>
    <w:p w14:paraId="6A725815">
      <w:pPr>
        <w:pStyle w:val="10"/>
        <w:spacing w:before="0" w:beforeLines="0" w:after="0" w:afterLines="0" w:line="360" w:lineRule="auto"/>
        <w:ind w:firstLine="480" w:firstLineChars="200"/>
      </w:pPr>
      <w:r>
        <w:rPr>
          <w:rFonts w:ascii="Times New Roman" w:hAnsi="Times New Roman" w:eastAsia="宋体" w:cs="Times New Roman"/>
          <w:b w:val="0"/>
          <w:sz w:val="24"/>
        </w:rPr>
        <w:t>（待后续阶段撰写）</w:t>
      </w:r>
    </w:p>
    <w:permEnd w:id="12"/>
    <w:p w14:paraId="41E5FE5D">
      <w:pPr>
        <w:spacing w:before="120" w:beforeLines="50" w:after="120" w:afterLines="50" w:line="360" w:lineRule="auto"/>
        <w:ind w:firstLine="560" w:firstLineChars="0"/>
        <w:rPr>
          <w:rFonts w:hint="eastAsia" w:ascii="黑体" w:eastAsia="黑体"/>
          <w:sz w:val="28"/>
        </w:rPr>
      </w:pPr>
      <w:r>
        <w:rPr>
          <w:rFonts w:hint="eastAsia" w:ascii="Times New Roman" w:hAnsi="Times New Roman" w:eastAsia="黑体" w:cs="Times New Roman"/>
          <w:b w:val="0"/>
          <w:sz w:val="28"/>
        </w:rPr>
        <w:t>三、</w:t>
      </w:r>
      <w:permStart w:id="13" w:edGrp="everyone"/>
      <w:r>
        <w:rPr>
          <w:rFonts w:hint="eastAsia" w:ascii="Times New Roman" w:hAnsi="Times New Roman" w:eastAsia="黑体" w:cs="Times New Roman"/>
          <w:b w:val="0"/>
          <w:sz w:val="28"/>
        </w:rPr>
        <w:t>毕业论文</w:t>
      </w:r>
      <w:permEnd w:id="13"/>
      <w:r>
        <w:rPr>
          <w:rFonts w:hint="eastAsia" w:ascii="Times New Roman" w:hAnsi="Times New Roman" w:eastAsia="黑体" w:cs="Times New Roman"/>
          <w:b w:val="0"/>
          <w:sz w:val="28"/>
        </w:rPr>
        <w:t>的主要参考文献</w:t>
      </w:r>
    </w:p>
    <w:p w14:paraId="2F5BFBEB">
      <w:pPr>
        <w:pStyle w:val="11"/>
        <w:spacing w:before="0" w:beforeLines="0" w:after="0" w:afterLines="0" w:line="360" w:lineRule="auto"/>
        <w:ind w:left="420" w:hanging="420"/>
        <w:rPr>
          <w:rFonts w:ascii="宋体" w:hAnsi="宋体"/>
        </w:rPr>
      </w:pPr>
      <w:permStart w:id="14" w:edGrp="everyone"/>
      <w:r>
        <w:rPr>
          <w:rFonts w:ascii="Times New Roman" w:hAnsi="Times New Roman" w:eastAsia="宋体" w:cs="Times New Roman"/>
          <w:b w:val="0"/>
          <w:sz w:val="24"/>
        </w:rPr>
        <w:t>[1] 工业和信息化部, 国家发展和改革委员会, 科学技术部, 等. "十四五"机器人产业发展规划[J]. 中华人民共和国工业和信息化部公报, 2021(12): 20-27.</w:t>
      </w:r>
    </w:p>
    <w:p w14:paraId="269719A5">
      <w:pPr>
        <w:pStyle w:val="11"/>
        <w:spacing w:before="0" w:beforeLines="0" w:after="0" w:afterLines="0" w:line="360" w:lineRule="auto"/>
        <w:ind w:left="420" w:hanging="420"/>
      </w:pPr>
      <w:r>
        <w:rPr>
          <w:rFonts w:ascii="Times New Roman" w:hAnsi="Times New Roman" w:eastAsia="宋体" w:cs="Times New Roman"/>
          <w:b w:val="0"/>
          <w:sz w:val="24"/>
        </w:rPr>
        <w:t>[2] 工业和信息化部, 教育部, 科学技术部, 等. "机器人+"应用行动实施方案[J]. 中华人民共和国工业和信息化部公报, 2023(1): 18-24.</w:t>
      </w:r>
    </w:p>
    <w:p w14:paraId="56248B69">
      <w:pPr>
        <w:pStyle w:val="11"/>
        <w:spacing w:before="0" w:beforeLines="0" w:after="0" w:afterLines="0" w:line="360" w:lineRule="auto"/>
        <w:ind w:left="420" w:hanging="420"/>
      </w:pPr>
      <w:r>
        <w:rPr>
          <w:rFonts w:ascii="Times New Roman" w:hAnsi="Times New Roman" w:eastAsia="宋体" w:cs="Times New Roman"/>
          <w:b w:val="0"/>
          <w:sz w:val="24"/>
        </w:rPr>
        <w:t>[3] FOSSEN T I. Handbook of Marine Craft Hydrodynamics and Motion Control[M]. 2nd ed. Chichester, UK: John Wiley &amp; Sons, 2021.</w:t>
      </w:r>
    </w:p>
    <w:p w14:paraId="5A6B7C2D">
      <w:pPr>
        <w:pStyle w:val="11"/>
        <w:spacing w:before="0" w:beforeLines="0" w:after="0" w:afterLines="0" w:line="360" w:lineRule="auto"/>
        <w:ind w:left="420" w:hanging="420"/>
      </w:pPr>
      <w:r>
        <w:rPr>
          <w:rFonts w:ascii="Times New Roman" w:hAnsi="Times New Roman" w:eastAsia="宋体" w:cs="Times New Roman"/>
          <w:b w:val="0"/>
          <w:sz w:val="24"/>
        </w:rPr>
        <w:t>[4] PX4 Development Team. Submarines (Unmanned Underwater Vehicles—UUV)[EB/OL]. (2024)[2026-10-10]. https://docs.px4.io/main/en/frames_sub/index.</w:t>
      </w:r>
    </w:p>
    <w:p w14:paraId="6EA94822">
      <w:pPr>
        <w:pStyle w:val="11"/>
        <w:spacing w:before="0" w:beforeLines="0" w:after="0" w:afterLines="0" w:line="360" w:lineRule="auto"/>
        <w:ind w:left="420" w:hanging="420"/>
      </w:pPr>
      <w:r>
        <w:rPr>
          <w:rFonts w:ascii="Times New Roman" w:hAnsi="Times New Roman" w:eastAsia="宋体" w:cs="Times New Roman"/>
          <w:b w:val="0"/>
          <w:sz w:val="24"/>
        </w:rPr>
        <w:t>[5] FOSSEN T I. Nonlinear modelling of marine vehicles in 6 degrees of freedom[J]. Mathematical Modelling of Systems, 1995, 1(1): 17-27.</w:t>
      </w:r>
    </w:p>
    <w:p w14:paraId="3ACE647B">
      <w:pPr>
        <w:pStyle w:val="11"/>
        <w:spacing w:before="0" w:beforeLines="0" w:after="0" w:afterLines="0" w:line="360" w:lineRule="auto"/>
        <w:ind w:left="420" w:hanging="420"/>
      </w:pPr>
      <w:r>
        <w:rPr>
          <w:rFonts w:ascii="Times New Roman" w:hAnsi="Times New Roman" w:eastAsia="宋体" w:cs="Times New Roman"/>
          <w:b w:val="0"/>
          <w:sz w:val="24"/>
        </w:rPr>
        <w:t>[6] 严卫生, 高剑, 崔荣鑫, 等. 水下航行器控制技术[M]. 北京: 国防工业出版社, 2020.</w:t>
      </w:r>
    </w:p>
    <w:p w14:paraId="45B0C307">
      <w:pPr>
        <w:pStyle w:val="11"/>
        <w:spacing w:before="0" w:beforeLines="0" w:after="0" w:afterLines="0" w:line="360" w:lineRule="auto"/>
        <w:ind w:left="420" w:hanging="420"/>
      </w:pPr>
      <w:r>
        <w:rPr>
          <w:rFonts w:ascii="Times New Roman" w:hAnsi="Times New Roman" w:eastAsia="宋体" w:cs="Times New Roman"/>
          <w:b w:val="0"/>
          <w:sz w:val="24"/>
        </w:rPr>
        <w:t>[7] PRESTERO T. Verification of a six-degree of freedom simulation model for the REMUS autonomous underwater vehicle[D]. Cambridge, MA: Massachusetts Institute of Technology, 2001.</w:t>
      </w:r>
    </w:p>
    <w:p w14:paraId="43AE5AD7">
      <w:pPr>
        <w:pStyle w:val="11"/>
        <w:spacing w:before="0" w:beforeLines="0" w:after="0" w:afterLines="0" w:line="360" w:lineRule="auto"/>
        <w:ind w:left="420" w:hanging="420"/>
      </w:pPr>
      <w:r>
        <w:rPr>
          <w:rFonts w:ascii="Times New Roman" w:hAnsi="Times New Roman" w:eastAsia="宋体" w:cs="Times New Roman"/>
          <w:b w:val="0"/>
          <w:sz w:val="24"/>
        </w:rPr>
        <w:t>[8] CACCIA M, INDIVERI G, VERUGGIO G. Modeling and identification of open-frame underwater vehicles[J]. IEEE Journal of Oceanic Engineering, 2000, 25(2): 227-240.</w:t>
      </w:r>
    </w:p>
    <w:p w14:paraId="60E84753">
      <w:pPr>
        <w:pStyle w:val="11"/>
        <w:spacing w:before="0" w:beforeLines="0" w:after="0" w:afterLines="0" w:line="360" w:lineRule="auto"/>
        <w:ind w:left="420" w:hanging="420"/>
      </w:pPr>
      <w:r>
        <w:rPr>
          <w:rFonts w:ascii="Times New Roman" w:hAnsi="Times New Roman" w:eastAsia="宋体" w:cs="Times New Roman"/>
          <w:b w:val="0"/>
          <w:sz w:val="24"/>
        </w:rPr>
        <w:t>[9] SMALLWOOD D A, WHITCOMB L L. Model-based dynamic positioning of underwater robotic vehicles: Theory and experiment[J]. IEEE Journal of Oceanic Engineering, 2004, 29(1): 169-186.</w:t>
      </w:r>
    </w:p>
    <w:p w14:paraId="73CA5337">
      <w:pPr>
        <w:pStyle w:val="11"/>
        <w:spacing w:before="0" w:beforeLines="0" w:after="0" w:afterLines="0" w:line="360" w:lineRule="auto"/>
        <w:ind w:left="420" w:hanging="420"/>
      </w:pPr>
      <w:r>
        <w:rPr>
          <w:rFonts w:ascii="Times New Roman" w:hAnsi="Times New Roman" w:eastAsia="宋体" w:cs="Times New Roman"/>
          <w:b w:val="0"/>
          <w:sz w:val="24"/>
        </w:rPr>
        <w:t>[10] VON BENZON M, SØRENSEN F F, UTH E, et al. An open-source benchmark simulation model for the BlueROV2[C]//OCEANS 2022-Hampton Roads. Hampton Roads, VA, USA: IEEE, 2022: 1-9.</w:t>
      </w:r>
    </w:p>
    <w:p w14:paraId="456C01ED">
      <w:pPr>
        <w:pStyle w:val="11"/>
        <w:spacing w:before="0" w:beforeLines="0" w:after="0" w:afterLines="0" w:line="360" w:lineRule="auto"/>
        <w:ind w:left="420" w:hanging="420"/>
      </w:pPr>
      <w:r>
        <w:rPr>
          <w:rFonts w:ascii="Times New Roman" w:hAnsi="Times New Roman" w:eastAsia="宋体" w:cs="Times New Roman"/>
          <w:b w:val="0"/>
          <w:sz w:val="24"/>
        </w:rPr>
        <w:t>[11] 高婷, 庞永杰, 王亚兴, 等. 水下航行器水动力系数计算方法[J]. 哈尔滨工程大学学报, 2019, 40(6): 1060-1066.</w:t>
      </w:r>
    </w:p>
    <w:p w14:paraId="6F784131">
      <w:pPr>
        <w:pStyle w:val="11"/>
        <w:spacing w:before="0" w:beforeLines="0" w:after="0" w:afterLines="0" w:line="360" w:lineRule="auto"/>
        <w:ind w:left="420" w:hanging="420"/>
      </w:pPr>
      <w:r>
        <w:rPr>
          <w:rFonts w:ascii="Times New Roman" w:hAnsi="Times New Roman" w:eastAsia="宋体" w:cs="Times New Roman"/>
          <w:b w:val="0"/>
          <w:sz w:val="24"/>
        </w:rPr>
        <w:t>[12] CHIN C S, LAU M W S. Modeling and testing of hydrodynamic damping for a complex-shaped remotely operated vehicle[J]. Journal of Waterway, Port, Coastal, and Ocean Engineering, 2012, 138(2): 156-173.</w:t>
      </w:r>
    </w:p>
    <w:p w14:paraId="5D2CFB97">
      <w:pPr>
        <w:pStyle w:val="11"/>
        <w:spacing w:before="0" w:beforeLines="0" w:after="0" w:afterLines="0" w:line="360" w:lineRule="auto"/>
        <w:ind w:left="420" w:hanging="420"/>
      </w:pPr>
      <w:r>
        <w:rPr>
          <w:rFonts w:ascii="Times New Roman" w:hAnsi="Times New Roman" w:eastAsia="宋体" w:cs="Times New Roman"/>
          <w:b w:val="0"/>
          <w:sz w:val="24"/>
        </w:rPr>
        <w:t>[13] ROSS A, FOSSEN T I, JOHANSEN T A. Identification of underwater vehicle hydrodynamic added mass and damping using planar motion mechanism and free decay tests[C]//Proceedings of the IEEE International Conference on Control Applications. Taipei, Taiwan: IEEE, 2004: 410-415.</w:t>
      </w:r>
    </w:p>
    <w:p w14:paraId="4052CEE8">
      <w:pPr>
        <w:pStyle w:val="11"/>
        <w:spacing w:before="0" w:beforeLines="0" w:after="0" w:afterLines="0" w:line="360" w:lineRule="auto"/>
        <w:ind w:left="420" w:hanging="420"/>
      </w:pPr>
      <w:r>
        <w:rPr>
          <w:rFonts w:ascii="Times New Roman" w:hAnsi="Times New Roman" w:eastAsia="宋体" w:cs="Times New Roman"/>
          <w:b w:val="0"/>
          <w:sz w:val="24"/>
        </w:rPr>
        <w:t>[14] AVILA J P J, ADAMOWSKI J C. Experimental model identification of an open-frame underwater vehicle[C]//OCEANS 2011 IEEE-Spain. Santander, Spain: IEEE, 2011: 1-7.</w:t>
      </w:r>
    </w:p>
    <w:p w14:paraId="436F25CD">
      <w:pPr>
        <w:pStyle w:val="11"/>
        <w:spacing w:before="0" w:beforeLines="0" w:after="0" w:afterLines="0" w:line="360" w:lineRule="auto"/>
        <w:ind w:left="420" w:hanging="420"/>
      </w:pPr>
      <w:r>
        <w:rPr>
          <w:rFonts w:ascii="Times New Roman" w:hAnsi="Times New Roman" w:eastAsia="宋体" w:cs="Times New Roman"/>
          <w:b w:val="0"/>
          <w:sz w:val="24"/>
        </w:rPr>
        <w:t>[15] HARRIS Z J, MAO A M, PAINE T M, et al. Stable nullspace adaptive identification of marine craft: A BlueROV2 case study[J]. IEEE Journal of Oceanic Engineering, 2022, 47(4): 980-994.</w:t>
      </w:r>
    </w:p>
    <w:p w14:paraId="3F0F2EE6">
      <w:pPr>
        <w:pStyle w:val="11"/>
        <w:spacing w:before="0" w:beforeLines="0" w:after="0" w:afterLines="0" w:line="360" w:lineRule="auto"/>
        <w:ind w:left="420" w:hanging="420"/>
      </w:pPr>
      <w:r>
        <w:rPr>
          <w:rFonts w:ascii="Times New Roman" w:hAnsi="Times New Roman" w:eastAsia="宋体" w:cs="Times New Roman"/>
          <w:b w:val="0"/>
          <w:sz w:val="24"/>
        </w:rPr>
        <w:t>[16] BRUNTON S L, PROCTOR J L, KUTZ J N. Discovering governing equations from data by sparse identification of nonlinear dynamical systems[J]. Proceedings of the National Academy of Sciences, 2016, 113(15): 3932-3937.</w:t>
      </w:r>
    </w:p>
    <w:p w14:paraId="5EAB91D2">
      <w:pPr>
        <w:pStyle w:val="11"/>
        <w:spacing w:before="0" w:beforeLines="0" w:after="0" w:afterLines="0" w:line="360" w:lineRule="auto"/>
        <w:ind w:left="420" w:hanging="420"/>
      </w:pPr>
      <w:r>
        <w:rPr>
          <w:rFonts w:ascii="Times New Roman" w:hAnsi="Times New Roman" w:eastAsia="宋体" w:cs="Times New Roman"/>
          <w:b w:val="0"/>
          <w:sz w:val="24"/>
        </w:rPr>
        <w:t>[17] RAISSI M, PERDIKARIS P, KARNIADAKIS G E. Physics-informed neural networks: A deep learning framework for solving forward and inverse problems involving nonlinear partial differential equations[J]. Journal of Computational Physics, 2019, 378: 686-707.</w:t>
      </w:r>
    </w:p>
    <w:p w14:paraId="4D6BB679">
      <w:pPr>
        <w:pStyle w:val="11"/>
        <w:spacing w:before="0" w:beforeLines="0" w:after="0" w:afterLines="0" w:line="360" w:lineRule="auto"/>
        <w:ind w:left="420" w:hanging="420"/>
      </w:pPr>
      <w:r>
        <w:rPr>
          <w:rFonts w:ascii="Times New Roman" w:hAnsi="Times New Roman" w:eastAsia="宋体" w:cs="Times New Roman"/>
          <w:b w:val="0"/>
          <w:sz w:val="24"/>
        </w:rPr>
        <w:t>[18] CHEN R T Q, RUBANOVA Y, BETTENCOURT J, et al. Neural ordinary differential equations[C]//Advances in Neural Information Processing Systems (NeurIPS 2018). Montreal, Canada, 2018, 31: 6571-6583.</w:t>
      </w:r>
    </w:p>
    <w:p w14:paraId="0C2BF565">
      <w:pPr>
        <w:pStyle w:val="11"/>
        <w:spacing w:before="0" w:beforeLines="0" w:after="0" w:afterLines="0" w:line="360" w:lineRule="auto"/>
        <w:ind w:left="420" w:hanging="420"/>
      </w:pPr>
      <w:r>
        <w:rPr>
          <w:rFonts w:ascii="Times New Roman" w:hAnsi="Times New Roman" w:eastAsia="宋体" w:cs="Times New Roman"/>
          <w:b w:val="0"/>
          <w:sz w:val="24"/>
        </w:rPr>
        <w:t>[19] LIU A, ZHANG X, XIAO F, et al. Koopman-based online identification and predictive control for underwater biomimetic vehicles[J]. IEEE Robotics and Automation Letters, 2023, 8(4): 2087-2094.</w:t>
      </w:r>
    </w:p>
    <w:p w14:paraId="34442D97">
      <w:pPr>
        <w:pStyle w:val="11"/>
        <w:spacing w:before="0" w:beforeLines="0" w:after="0" w:afterLines="0" w:line="360" w:lineRule="auto"/>
        <w:ind w:left="420" w:hanging="420"/>
      </w:pPr>
      <w:r>
        <w:rPr>
          <w:rFonts w:ascii="Times New Roman" w:hAnsi="Times New Roman" w:eastAsia="宋体" w:cs="Times New Roman"/>
          <w:b w:val="0"/>
          <w:sz w:val="24"/>
        </w:rPr>
        <w:t>[20] YUH J. Design and control of autonomous underwater robots: A survey[J]. Autonomous Robots, 2000, 8(1): 7-24.</w:t>
      </w:r>
    </w:p>
    <w:p w14:paraId="6DE74D3D">
      <w:pPr>
        <w:pStyle w:val="11"/>
        <w:spacing w:before="0" w:beforeLines="0" w:after="0" w:afterLines="0" w:line="360" w:lineRule="auto"/>
        <w:ind w:left="420" w:hanging="420"/>
      </w:pPr>
      <w:r>
        <w:rPr>
          <w:rFonts w:ascii="Times New Roman" w:hAnsi="Times New Roman" w:eastAsia="宋体" w:cs="Times New Roman"/>
          <w:b w:val="0"/>
          <w:sz w:val="24"/>
        </w:rPr>
        <w:t>[21] 朱大奇, 孙兵. 水下机器人运动控制研究进展[J]. 控制与决策, 2012, 27(3): 321-333.</w:t>
      </w:r>
    </w:p>
    <w:p w14:paraId="21CE4A23">
      <w:pPr>
        <w:pStyle w:val="11"/>
        <w:spacing w:before="0" w:beforeLines="0" w:after="0" w:afterLines="0" w:line="360" w:lineRule="auto"/>
        <w:ind w:left="420" w:hanging="420"/>
      </w:pPr>
      <w:r>
        <w:rPr>
          <w:rFonts w:ascii="Times New Roman" w:hAnsi="Times New Roman" w:eastAsia="宋体" w:cs="Times New Roman"/>
          <w:b w:val="0"/>
          <w:sz w:val="24"/>
        </w:rPr>
        <w:t>[22] YOERGER D R, SLOTINE J J E. Robust trajectory control of underwater vehicles[J]. IEEE Journal of Oceanic Engineering, 1985, 10(4): 462-470.</w:t>
      </w:r>
    </w:p>
    <w:p w14:paraId="61AE20AA">
      <w:pPr>
        <w:pStyle w:val="11"/>
        <w:spacing w:before="0" w:beforeLines="0" w:after="0" w:afterLines="0" w:line="360" w:lineRule="auto"/>
        <w:ind w:left="420" w:hanging="420"/>
      </w:pPr>
      <w:r>
        <w:rPr>
          <w:rFonts w:ascii="Times New Roman" w:hAnsi="Times New Roman" w:eastAsia="宋体" w:cs="Times New Roman"/>
          <w:b w:val="0"/>
          <w:sz w:val="24"/>
        </w:rPr>
        <w:t>[23] HEALEY A J, LIENARD D. Multivariable sliding mode control for autonomous diving and steering of unmanned underwater vehicles[J]. IEEE Journal of Oceanic Engineering, 1993, 18(3): 327-339.</w:t>
      </w:r>
    </w:p>
    <w:p w14:paraId="3D1A7D29">
      <w:pPr>
        <w:pStyle w:val="11"/>
        <w:spacing w:before="0" w:beforeLines="0" w:after="0" w:afterLines="0" w:line="360" w:lineRule="auto"/>
        <w:ind w:left="420" w:hanging="420"/>
      </w:pPr>
      <w:r>
        <w:rPr>
          <w:rFonts w:ascii="Times New Roman" w:hAnsi="Times New Roman" w:eastAsia="宋体" w:cs="Times New Roman"/>
          <w:b w:val="0"/>
          <w:sz w:val="24"/>
        </w:rPr>
        <w:t>[24] CHU Z, XIANG X, ZHU D, et al. Adaptive trajectory tracking control for remotely operated vehicles considering thruster dynamics and saturation constraints[J]. IEEE Transactions on Control Systems Technology, 2020, 28(5): 2006-2016.</w:t>
      </w:r>
    </w:p>
    <w:p w14:paraId="0442E4E6">
      <w:pPr>
        <w:pStyle w:val="11"/>
        <w:spacing w:before="0" w:beforeLines="0" w:after="0" w:afterLines="0" w:line="360" w:lineRule="auto"/>
        <w:ind w:left="420" w:hanging="420"/>
      </w:pPr>
      <w:r>
        <w:rPr>
          <w:rFonts w:ascii="Times New Roman" w:hAnsi="Times New Roman" w:eastAsia="宋体" w:cs="Times New Roman"/>
          <w:b w:val="0"/>
          <w:sz w:val="24"/>
        </w:rPr>
        <w:t>[25] 张磊, 严卫生, 付明玉. 自主水下航行器模型预测控制研究现状与展望[J]. 控制理论与应用, 2018, 35(10): 1393-1405.</w:t>
      </w:r>
    </w:p>
    <w:p w14:paraId="58963C73">
      <w:pPr>
        <w:pStyle w:val="11"/>
        <w:spacing w:before="0" w:beforeLines="0" w:after="0" w:afterLines="0" w:line="360" w:lineRule="auto"/>
        <w:ind w:left="420" w:hanging="420"/>
      </w:pPr>
      <w:r>
        <w:rPr>
          <w:rFonts w:ascii="Times New Roman" w:hAnsi="Times New Roman" w:eastAsia="宋体" w:cs="Times New Roman"/>
          <w:b w:val="0"/>
          <w:sz w:val="24"/>
        </w:rPr>
        <w:t>[26] HESHMATI-ALAMDARI S, KARRAS G C, MARANTOS P, et al. A robust model predictive control approach for trajectory tracking of autonomous underwater vehicles under oceanic currents[C]//IEEE International Conference on Robotics and Automation (ICRA). Singapore: IEEE, 2017: 5783-5788.</w:t>
      </w:r>
    </w:p>
    <w:p w14:paraId="1FC3E202">
      <w:pPr>
        <w:pStyle w:val="11"/>
        <w:spacing w:before="0" w:beforeLines="0" w:after="0" w:afterLines="0" w:line="360" w:lineRule="auto"/>
        <w:ind w:left="420" w:hanging="420"/>
      </w:pPr>
      <w:r>
        <w:rPr>
          <w:rFonts w:ascii="Times New Roman" w:hAnsi="Times New Roman" w:eastAsia="宋体" w:cs="Times New Roman"/>
          <w:b w:val="0"/>
          <w:sz w:val="24"/>
        </w:rPr>
        <w:t>[27] HESHMATI-ALAMDARI S, NIKOU A, DIMAROGONAS D V. Robust trajectory tracking control for underactuated autonomous underwater vehicles in confined spaces[J]. IEEE Transactions on Control Systems Technology, 2020, 29(3): 1120-1135.</w:t>
      </w:r>
    </w:p>
    <w:p w14:paraId="30901117">
      <w:pPr>
        <w:pStyle w:val="11"/>
        <w:spacing w:before="0" w:beforeLines="0" w:after="0" w:afterLines="0" w:line="360" w:lineRule="auto"/>
        <w:ind w:left="420" w:hanging="420"/>
      </w:pPr>
      <w:r>
        <w:rPr>
          <w:rFonts w:ascii="Times New Roman" w:hAnsi="Times New Roman" w:eastAsia="宋体" w:cs="Times New Roman"/>
          <w:b w:val="0"/>
          <w:sz w:val="24"/>
        </w:rPr>
        <w:t>[28] JOHANSEN T A, FOSSEN T I. Control allocation: A survey[J]. Automatica, 2013, 49(5): 1087-1103.</w:t>
      </w:r>
    </w:p>
    <w:p w14:paraId="08116047">
      <w:pPr>
        <w:pStyle w:val="11"/>
        <w:spacing w:before="0" w:beforeLines="0" w:after="0" w:afterLines="0" w:line="360" w:lineRule="auto"/>
        <w:ind w:left="420" w:hanging="420"/>
      </w:pPr>
      <w:r>
        <w:rPr>
          <w:rFonts w:ascii="Times New Roman" w:hAnsi="Times New Roman" w:eastAsia="宋体" w:cs="Times New Roman"/>
          <w:b w:val="0"/>
          <w:sz w:val="24"/>
        </w:rPr>
        <w:t>[29] BODSON M. Evaluation of optimization methods for control allocation[J]. Journal of Guidance, Control, and Dynamics, 2002, 25(4): 703-711.</w:t>
      </w:r>
    </w:p>
    <w:p w14:paraId="512E7892">
      <w:pPr>
        <w:pStyle w:val="11"/>
        <w:spacing w:before="0" w:beforeLines="0" w:after="0" w:afterLines="0" w:line="360" w:lineRule="auto"/>
        <w:ind w:left="420" w:hanging="420"/>
      </w:pPr>
      <w:r>
        <w:rPr>
          <w:rFonts w:ascii="Times New Roman" w:hAnsi="Times New Roman" w:eastAsia="宋体" w:cs="Times New Roman"/>
          <w:b w:val="0"/>
          <w:sz w:val="24"/>
        </w:rPr>
        <w:t>[30] HÄRKEGÅRD O. Efficient active set algorithms for solving constrained least squares problems in aircraft control allocation[C]//Proceedings of the 41st IEEE Conference on Decision and Control. Las Vegas, NV, USA: IEEE, 2002, 2: 1295-1300.</w:t>
      </w:r>
    </w:p>
    <w:p w14:paraId="4600E645">
      <w:pPr>
        <w:pStyle w:val="11"/>
        <w:spacing w:before="0" w:beforeLines="0" w:after="0" w:afterLines="0" w:line="360" w:lineRule="auto"/>
        <w:ind w:left="420" w:hanging="420"/>
      </w:pPr>
      <w:r>
        <w:rPr>
          <w:rFonts w:ascii="Times New Roman" w:hAnsi="Times New Roman" w:eastAsia="宋体" w:cs="Times New Roman"/>
          <w:b w:val="0"/>
          <w:sz w:val="24"/>
        </w:rPr>
        <w:t>[31] 程卫平, 王猛, 曾现敏, 等. 基于可行方向法的水下机器人推力分配[J]. 舰船科学技术, 2022, 44(15): 82-87.</w:t>
      </w:r>
    </w:p>
    <w:p w14:paraId="7F4695D2">
      <w:pPr>
        <w:pStyle w:val="11"/>
        <w:spacing w:before="0" w:beforeLines="0" w:after="0" w:afterLines="0" w:line="360" w:lineRule="auto"/>
        <w:ind w:left="420" w:hanging="420"/>
      </w:pPr>
      <w:r>
        <w:rPr>
          <w:rFonts w:ascii="Times New Roman" w:hAnsi="Times New Roman" w:eastAsia="宋体" w:cs="Times New Roman"/>
          <w:b w:val="0"/>
          <w:sz w:val="24"/>
        </w:rPr>
        <w:t>[32] 孙功武, 苏义鑫, 毛英, 等. 基于模糊逻辑的混合推进ROV多级推力分配策略[J]. 机器人, 2023, 45(1): 65-76.</w:t>
      </w:r>
    </w:p>
    <w:p w14:paraId="1AAFFE03">
      <w:pPr>
        <w:pStyle w:val="11"/>
        <w:spacing w:before="0" w:beforeLines="0" w:after="0" w:afterLines="0" w:line="360" w:lineRule="auto"/>
        <w:ind w:left="420" w:hanging="420"/>
      </w:pPr>
      <w:r>
        <w:rPr>
          <w:rFonts w:ascii="Times New Roman" w:hAnsi="Times New Roman" w:eastAsia="宋体" w:cs="Times New Roman"/>
          <w:b w:val="0"/>
          <w:sz w:val="24"/>
        </w:rPr>
        <w:t>[33] LI J H, LEE M J, KIM M G, et al. MCE-based direct FTC method for over-actuated underwater vehicle under thruster fault[J]. Ocean Engineering, 2021, 235: 109395.</w:t>
      </w:r>
    </w:p>
    <w:p w14:paraId="58A982D8">
      <w:pPr>
        <w:pStyle w:val="11"/>
        <w:spacing w:before="0" w:beforeLines="0" w:after="0" w:afterLines="0" w:line="360" w:lineRule="auto"/>
        <w:ind w:left="420" w:hanging="420"/>
      </w:pPr>
      <w:r>
        <w:rPr>
          <w:rFonts w:ascii="Times New Roman" w:hAnsi="Times New Roman" w:eastAsia="宋体" w:cs="Times New Roman"/>
          <w:b w:val="0"/>
          <w:sz w:val="24"/>
        </w:rPr>
        <w:t>[34] MEIER L, HONEGGER D, POLLEFEYS M. PX4: A node-based multithreaded open source robotics framework for deeply embedded platforms[C]//IEEE International Conference on Robotics and Automation (ICRA). Seattle, WA, USA: IEEE, 2015: 6235-6240.</w:t>
      </w:r>
    </w:p>
    <w:p w14:paraId="7F7B86ED">
      <w:pPr>
        <w:pStyle w:val="11"/>
        <w:spacing w:before="0" w:beforeLines="0" w:after="0" w:afterLines="0" w:line="360" w:lineRule="auto"/>
        <w:ind w:left="420" w:hanging="420"/>
      </w:pPr>
      <w:r>
        <w:rPr>
          <w:rFonts w:ascii="Times New Roman" w:hAnsi="Times New Roman" w:eastAsia="宋体" w:cs="Times New Roman"/>
          <w:b w:val="0"/>
          <w:sz w:val="24"/>
        </w:rPr>
        <w:t>[35] PX4 Development Team. Control Allocation (Mixing)[EB/OL]. [2026-10-10]. https://docs.px4.io/main/en/concept/control_allocation.</w:t>
      </w:r>
    </w:p>
    <w:p w14:paraId="7C735F3C">
      <w:pPr>
        <w:pStyle w:val="11"/>
        <w:spacing w:before="0" w:beforeLines="0" w:after="0" w:afterLines="0" w:line="360" w:lineRule="auto"/>
        <w:ind w:left="420" w:hanging="420"/>
      </w:pPr>
      <w:r>
        <w:rPr>
          <w:rFonts w:ascii="Times New Roman" w:hAnsi="Times New Roman" w:eastAsia="宋体" w:cs="Times New Roman"/>
          <w:b w:val="0"/>
          <w:sz w:val="24"/>
        </w:rPr>
        <w:t>[36] PX4 Development Team. BlueROV2 (UUV)[EB/OL]. [2026-10-10]. https://docs.px4.io/main/en/frames_sub/bluerov2.</w:t>
      </w:r>
    </w:p>
    <w:p w14:paraId="183C01B1">
      <w:pPr>
        <w:pStyle w:val="11"/>
        <w:spacing w:before="0" w:beforeLines="0" w:after="0" w:afterLines="0" w:line="360" w:lineRule="auto"/>
        <w:ind w:left="420" w:hanging="420"/>
      </w:pPr>
      <w:r>
        <w:rPr>
          <w:rFonts w:ascii="Times New Roman" w:hAnsi="Times New Roman" w:eastAsia="宋体" w:cs="Times New Roman"/>
          <w:b w:val="0"/>
          <w:sz w:val="24"/>
        </w:rPr>
        <w:t>[37] PX4 Development Team. Offboard Mode (Generic/All Frames)[EB/OL]. [2026-10-10]. https://docs.px4.io/main/en/flight_modes/offboard.</w:t>
      </w:r>
    </w:p>
    <w:permEnd w:id="14"/>
    <w:p w14:paraId="2CA8248D">
      <w:pPr>
        <w:spacing w:before="120" w:beforeLines="50" w:after="120" w:afterLines="50" w:line="360" w:lineRule="auto"/>
        <w:ind w:firstLine="560" w:firstLineChars="0"/>
        <w:rPr>
          <w:rFonts w:hint="eastAsia" w:ascii="黑体" w:eastAsia="黑体"/>
          <w:sz w:val="28"/>
        </w:rPr>
      </w:pPr>
      <w:r>
        <w:rPr>
          <w:rFonts w:hint="eastAsia" w:ascii="Times New Roman" w:hAnsi="Times New Roman" w:eastAsia="黑体" w:cs="Times New Roman"/>
          <w:b w:val="0"/>
          <w:sz w:val="28"/>
        </w:rPr>
        <w:t>四、审核意见</w:t>
      </w:r>
    </w:p>
    <w:tbl>
      <w:tblPr>
        <w:tblStyle w:val="5"/>
        <w:tblW w:w="85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3A9B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8" w:hRule="atLeast"/>
        </w:trPr>
        <w:tc>
          <w:tcPr>
            <w:tcW w:w="8500" w:type="dxa"/>
            <w:vAlign w:val="bottom"/>
          </w:tcPr>
          <w:p w14:paraId="498EEE18">
            <w:pPr>
              <w:spacing w:line="360" w:lineRule="exact"/>
              <w:ind w:firstLine="480"/>
              <w:rPr>
                <w:rFonts w:hint="eastAsia" w:ascii="宋体" w:hAnsi="宋体"/>
                <w:szCs w:val="21"/>
              </w:rPr>
            </w:pPr>
            <w:r>
              <w:rPr>
                <w:rFonts w:ascii="黑体" w:hAnsi="宋体" w:eastAsia="黑体"/>
                <w:szCs w:val="24"/>
              </w:rPr>
              <w:t>指导教师意见：</w:t>
            </w:r>
            <w:permStart w:id="15" w:edGrp="everyone"/>
          </w:p>
          <w:p w14:paraId="0B50E364">
            <w:pPr>
              <w:spacing w:line="360" w:lineRule="exact"/>
              <w:ind w:firstLine="480"/>
              <w:rPr>
                <w:rFonts w:hint="eastAsia" w:ascii="宋体" w:hAnsi="宋体"/>
                <w:color w:val="ADADAD"/>
                <w:szCs w:val="24"/>
              </w:rPr>
            </w:pPr>
            <w:r>
              <w:rPr>
                <w:rFonts w:ascii="宋体" w:hAnsi="宋体"/>
                <w:color w:val="ADADAD"/>
                <w:szCs w:val="24"/>
              </w:rPr>
              <w:t>（课题难度是否适中、工作量是否饱满、进度安排是否合理、工作条件是否具备、是否同意开题等）</w:t>
            </w:r>
          </w:p>
          <w:p w14:paraId="3930308C">
            <w:pPr>
              <w:pStyle w:val="10"/>
              <w:ind w:firstLine="480"/>
              <w:rPr>
                <w:rFonts w:hint="eastAsia"/>
              </w:rPr>
            </w:pPr>
          </w:p>
          <w:p w14:paraId="08C32DB3">
            <w:pPr>
              <w:pStyle w:val="10"/>
              <w:ind w:firstLine="480"/>
              <w:rPr>
                <w:rFonts w:hint="eastAsia"/>
              </w:rPr>
            </w:pPr>
          </w:p>
          <w:p w14:paraId="42BCE067">
            <w:pPr>
              <w:pStyle w:val="10"/>
              <w:ind w:firstLine="480"/>
              <w:rPr>
                <w:rFonts w:hint="eastAsia"/>
              </w:rPr>
            </w:pPr>
          </w:p>
          <w:p w14:paraId="62F9A7FB">
            <w:pPr>
              <w:pStyle w:val="10"/>
              <w:ind w:firstLine="480"/>
              <w:rPr>
                <w:rFonts w:hint="eastAsia"/>
              </w:rPr>
            </w:pPr>
          </w:p>
          <w:p w14:paraId="1EAE3CD9">
            <w:pPr>
              <w:pStyle w:val="10"/>
              <w:ind w:firstLine="480"/>
              <w:rPr>
                <w:rFonts w:hint="eastAsia"/>
              </w:rPr>
            </w:pPr>
          </w:p>
          <w:p w14:paraId="1D61238E">
            <w:pPr>
              <w:pStyle w:val="10"/>
              <w:ind w:firstLine="480"/>
              <w:rPr>
                <w:rFonts w:hint="eastAsia"/>
              </w:rPr>
            </w:pPr>
          </w:p>
          <w:p w14:paraId="329DC671">
            <w:pPr>
              <w:pStyle w:val="10"/>
              <w:ind w:firstLine="480"/>
              <w:rPr>
                <w:rFonts w:hint="eastAsia"/>
              </w:rPr>
            </w:pPr>
          </w:p>
          <w:permEnd w:id="15"/>
          <w:p w14:paraId="69D2BE4E">
            <w:pPr>
              <w:ind w:firstLine="5520" w:firstLineChars="2300"/>
              <w:rPr>
                <w:rFonts w:hint="eastAsia" w:ascii="黑体" w:hAnsi="宋体" w:eastAsia="黑体"/>
                <w:szCs w:val="24"/>
              </w:rPr>
            </w:pPr>
            <w:r>
              <w:rPr>
                <w:rFonts w:hint="eastAsia" w:ascii="黑体" w:hAnsi="宋体" w:eastAsia="黑体"/>
                <w:szCs w:val="24"/>
              </w:rPr>
              <w:t>指导教师签名</w:t>
            </w:r>
            <w:r>
              <w:rPr>
                <w:rFonts w:hint="eastAsia" w:ascii="黑体" w:hAnsi="宋体" w:eastAsia="黑体"/>
                <w:szCs w:val="24"/>
                <w:u w:val="single"/>
              </w:rPr>
              <w:t xml:space="preserve">   </w:t>
            </w:r>
            <w:permStart w:id="16" w:edGrp="everyone"/>
            <w:r>
              <w:rPr>
                <w:rFonts w:hint="eastAsia" w:ascii="黑体" w:hAnsi="宋体" w:eastAsia="黑体"/>
                <w:szCs w:val="24"/>
                <w:u w:val="single"/>
              </w:rPr>
              <w:t xml:space="preserve">  </w:t>
            </w:r>
            <w:permEnd w:id="16"/>
            <w:r>
              <w:rPr>
                <w:rFonts w:hint="eastAsia" w:ascii="黑体" w:hAnsi="宋体" w:eastAsia="黑体"/>
                <w:szCs w:val="24"/>
                <w:u w:val="single"/>
              </w:rPr>
              <w:t xml:space="preserve">  </w:t>
            </w:r>
          </w:p>
          <w:p w14:paraId="54DBADB2">
            <w:pPr>
              <w:ind w:firstLine="480"/>
              <w:jc w:val="center"/>
              <w:rPr>
                <w:rFonts w:hint="eastAsia" w:ascii="黑体" w:hAnsi="宋体" w:eastAsia="黑体"/>
                <w:szCs w:val="24"/>
              </w:rPr>
            </w:pPr>
            <w:r>
              <w:rPr>
                <w:rFonts w:hint="eastAsia" w:ascii="宋体" w:hAnsi="宋体"/>
                <w:szCs w:val="24"/>
              </w:rPr>
              <w:t xml:space="preserve">                                        </w:t>
            </w:r>
            <w:r>
              <w:rPr>
                <w:rFonts w:hint="eastAsia" w:ascii="宋体" w:hAnsi="宋体"/>
                <w:szCs w:val="24"/>
                <w:u w:val="single"/>
              </w:rPr>
              <w:t xml:space="preserve"> </w:t>
            </w:r>
            <w:permStart w:id="17" w:edGrp="everyone"/>
            <w:r>
              <w:rPr>
                <w:rFonts w:hint="eastAsia" w:ascii="宋体" w:hAnsi="宋体"/>
                <w:szCs w:val="24"/>
                <w:u w:val="single"/>
              </w:rPr>
              <w:t xml:space="preserve"> </w:t>
            </w:r>
            <w:permEnd w:id="17"/>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permStart w:id="18" w:edGrp="everyone"/>
            <w:r>
              <w:rPr>
                <w:rFonts w:hint="eastAsia" w:ascii="宋体" w:hAnsi="宋体"/>
                <w:szCs w:val="24"/>
                <w:u w:val="single"/>
              </w:rPr>
              <w:t xml:space="preserve"> </w:t>
            </w:r>
            <w:permEnd w:id="18"/>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permStart w:id="19" w:edGrp="everyone"/>
            <w:r>
              <w:rPr>
                <w:rFonts w:hint="eastAsia" w:ascii="宋体" w:hAnsi="宋体"/>
                <w:szCs w:val="24"/>
                <w:u w:val="single"/>
              </w:rPr>
              <w:t xml:space="preserve"> </w:t>
            </w:r>
            <w:permEnd w:id="19"/>
            <w:r>
              <w:rPr>
                <w:rFonts w:hint="eastAsia" w:ascii="宋体" w:hAnsi="宋体"/>
                <w:szCs w:val="24"/>
                <w:u w:val="single"/>
              </w:rPr>
              <w:t xml:space="preserve"> </w:t>
            </w:r>
            <w:r>
              <w:rPr>
                <w:rFonts w:hint="eastAsia" w:ascii="黑体" w:hAnsi="宋体" w:eastAsia="黑体"/>
                <w:szCs w:val="24"/>
              </w:rPr>
              <w:t>日</w:t>
            </w:r>
          </w:p>
          <w:p w14:paraId="0AA36D12">
            <w:pPr>
              <w:ind w:firstLine="560"/>
              <w:jc w:val="center"/>
              <w:rPr>
                <w:rFonts w:hint="eastAsia" w:ascii="宋体" w:hAnsi="宋体"/>
                <w:sz w:val="28"/>
              </w:rPr>
            </w:pPr>
          </w:p>
        </w:tc>
      </w:tr>
      <w:tr w14:paraId="4FEE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5" w:hRule="atLeast"/>
        </w:trPr>
        <w:tc>
          <w:tcPr>
            <w:tcW w:w="8500" w:type="dxa"/>
            <w:vAlign w:val="bottom"/>
          </w:tcPr>
          <w:p w14:paraId="0BA4A45F">
            <w:pPr>
              <w:ind w:firstLine="480"/>
              <w:rPr>
                <w:rFonts w:hint="eastAsia" w:ascii="黑体" w:hAnsi="楷体" w:eastAsia="黑体"/>
                <w:szCs w:val="24"/>
              </w:rPr>
            </w:pPr>
            <w:r>
              <w:rPr>
                <w:rFonts w:hint="eastAsia" w:ascii="黑体" w:hAnsi="楷体" w:eastAsia="黑体"/>
                <w:szCs w:val="24"/>
              </w:rPr>
              <w:t>专业审核意见：</w:t>
            </w:r>
          </w:p>
          <w:p w14:paraId="464295D2">
            <w:pPr>
              <w:spacing w:line="360" w:lineRule="auto"/>
              <w:ind w:firstLine="480"/>
              <w:rPr>
                <w:rFonts w:hint="eastAsia" w:ascii="宋体" w:hAnsi="宋体"/>
                <w:color w:val="ADADAD"/>
                <w:szCs w:val="24"/>
              </w:rPr>
            </w:pPr>
            <w:permStart w:id="20" w:edGrp="everyone"/>
            <w:r>
              <w:rPr>
                <w:rFonts w:hint="eastAsia" w:hAnsi="宋体"/>
                <w:color w:val="ADADAD"/>
                <w:szCs w:val="24"/>
              </w:rPr>
              <w:t>（适当对各项内容给与意见和评价，字数不限。）</w:t>
            </w:r>
          </w:p>
          <w:p w14:paraId="037A73CE">
            <w:pPr>
              <w:pStyle w:val="10"/>
              <w:ind w:firstLine="480"/>
              <w:rPr>
                <w:rFonts w:hint="eastAsia"/>
              </w:rPr>
            </w:pPr>
          </w:p>
          <w:p w14:paraId="0BB96980">
            <w:pPr>
              <w:pStyle w:val="10"/>
              <w:ind w:firstLine="480"/>
              <w:rPr>
                <w:rFonts w:hint="eastAsia"/>
              </w:rPr>
            </w:pPr>
          </w:p>
          <w:p w14:paraId="631107CC">
            <w:pPr>
              <w:pStyle w:val="10"/>
              <w:ind w:firstLine="480"/>
              <w:rPr>
                <w:rFonts w:hint="eastAsia"/>
              </w:rPr>
            </w:pPr>
          </w:p>
          <w:p w14:paraId="1F651512">
            <w:pPr>
              <w:pStyle w:val="10"/>
              <w:ind w:firstLine="480"/>
              <w:rPr>
                <w:rFonts w:hint="eastAsia"/>
              </w:rPr>
            </w:pPr>
          </w:p>
          <w:p w14:paraId="03E625F7">
            <w:pPr>
              <w:pStyle w:val="10"/>
              <w:ind w:firstLine="480"/>
              <w:rPr>
                <w:rFonts w:hint="eastAsia"/>
              </w:rPr>
            </w:pPr>
          </w:p>
          <w:permEnd w:id="20"/>
          <w:p w14:paraId="2F4B20B7">
            <w:pPr>
              <w:ind w:firstLine="5760" w:firstLineChars="2400"/>
              <w:rPr>
                <w:rFonts w:hint="eastAsia" w:ascii="黑体" w:hAnsi="宋体" w:eastAsia="黑体"/>
                <w:szCs w:val="24"/>
              </w:rPr>
            </w:pPr>
            <w:r>
              <w:rPr>
                <w:rFonts w:hint="eastAsia" w:ascii="黑体" w:hAnsi="宋体" w:eastAsia="黑体"/>
                <w:szCs w:val="24"/>
              </w:rPr>
              <w:t>负责人签名</w:t>
            </w:r>
            <w:r>
              <w:rPr>
                <w:rFonts w:hint="eastAsia" w:ascii="黑体" w:hAnsi="宋体" w:eastAsia="黑体"/>
                <w:szCs w:val="24"/>
                <w:u w:val="single"/>
              </w:rPr>
              <w:t xml:space="preserve">  </w:t>
            </w:r>
            <w:permStart w:id="21" w:edGrp="everyone"/>
            <w:r>
              <w:rPr>
                <w:rFonts w:hint="eastAsia" w:ascii="黑体" w:hAnsi="宋体" w:eastAsia="黑体"/>
                <w:szCs w:val="24"/>
                <w:u w:val="single"/>
              </w:rPr>
              <w:t xml:space="preserve">  </w:t>
            </w:r>
            <w:permEnd w:id="21"/>
            <w:r>
              <w:rPr>
                <w:rFonts w:hint="eastAsia" w:ascii="黑体" w:hAnsi="宋体" w:eastAsia="黑体"/>
                <w:szCs w:val="24"/>
                <w:u w:val="single"/>
              </w:rPr>
              <w:t xml:space="preserve">  </w:t>
            </w:r>
          </w:p>
          <w:p w14:paraId="7032D7DB">
            <w:pPr>
              <w:ind w:firstLine="480"/>
              <w:jc w:val="center"/>
              <w:rPr>
                <w:rFonts w:hint="eastAsia" w:ascii="楷体" w:hAnsi="楷体" w:eastAsia="楷体"/>
                <w:szCs w:val="24"/>
              </w:rPr>
            </w:pPr>
            <w:r>
              <w:rPr>
                <w:rFonts w:hint="eastAsia" w:ascii="宋体" w:hAnsi="宋体"/>
                <w:szCs w:val="24"/>
              </w:rPr>
              <w:t xml:space="preserve">                                          </w:t>
            </w:r>
            <w:r>
              <w:rPr>
                <w:rFonts w:hint="eastAsia" w:ascii="宋体" w:hAnsi="宋体"/>
                <w:szCs w:val="24"/>
                <w:u w:val="single"/>
              </w:rPr>
              <w:t xml:space="preserve"> </w:t>
            </w:r>
            <w:permStart w:id="22" w:edGrp="everyone"/>
            <w:r>
              <w:rPr>
                <w:rFonts w:hint="eastAsia" w:ascii="宋体" w:hAnsi="宋体"/>
                <w:szCs w:val="24"/>
                <w:u w:val="single"/>
              </w:rPr>
              <w:t xml:space="preserve"> </w:t>
            </w:r>
            <w:permEnd w:id="22"/>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permStart w:id="23" w:edGrp="everyone"/>
            <w:r>
              <w:rPr>
                <w:rFonts w:hint="eastAsia" w:ascii="宋体" w:hAnsi="宋体"/>
                <w:szCs w:val="24"/>
                <w:u w:val="single"/>
              </w:rPr>
              <w:t xml:space="preserve"> </w:t>
            </w:r>
            <w:permEnd w:id="23"/>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permStart w:id="24" w:edGrp="everyone"/>
            <w:r>
              <w:rPr>
                <w:rFonts w:hint="eastAsia" w:ascii="宋体" w:hAnsi="宋体"/>
                <w:szCs w:val="24"/>
                <w:u w:val="single"/>
              </w:rPr>
              <w:t xml:space="preserve"> </w:t>
            </w:r>
            <w:permEnd w:id="24"/>
            <w:r>
              <w:rPr>
                <w:rFonts w:hint="eastAsia" w:ascii="宋体" w:hAnsi="宋体"/>
                <w:szCs w:val="24"/>
                <w:u w:val="single"/>
              </w:rPr>
              <w:t xml:space="preserve"> </w:t>
            </w:r>
            <w:r>
              <w:rPr>
                <w:rFonts w:hint="eastAsia" w:ascii="黑体" w:hAnsi="宋体" w:eastAsia="黑体"/>
                <w:szCs w:val="24"/>
              </w:rPr>
              <w:t>日</w:t>
            </w:r>
          </w:p>
          <w:p w14:paraId="698FE26B">
            <w:pPr>
              <w:ind w:firstLine="480"/>
              <w:jc w:val="center"/>
              <w:rPr>
                <w:rFonts w:hint="eastAsia" w:ascii="楷体" w:hAnsi="楷体" w:eastAsia="楷体"/>
              </w:rPr>
            </w:pPr>
          </w:p>
        </w:tc>
      </w:tr>
    </w:tbl>
    <w:p w14:paraId="7C2C33EF">
      <w:pPr>
        <w:ind w:firstLine="560"/>
        <w:jc w:val="left"/>
        <w:rPr>
          <w:rFonts w:hint="eastAsia" w:ascii="宋体" w:hAnsi="宋体"/>
          <w:sz w:val="28"/>
        </w:rPr>
      </w:pPr>
    </w:p>
    <w:p w14:paraId="46D16151">
      <w:pPr>
        <w:ind w:firstLine="480"/>
        <w:jc w:val="left"/>
        <w:rPr>
          <w:rFonts w:hint="eastAsia" w:ascii="宋体" w:hAnsi="宋体"/>
        </w:rPr>
      </w:pPr>
    </w:p>
    <w:sectPr>
      <w:pgSz w:w="11907" w:h="16840"/>
      <w:pgMar w:top="1304" w:right="1797" w:bottom="567" w:left="1797" w:header="720" w:footer="720" w:gutter="0"/>
      <w:cols w:space="425" w:num="1"/>
      <w:docGrid w:linePitch="27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 w:val="1F4D74BC"/>
    <w:rsid w:val="4A3B1931"/>
    <w:rsid w:val="557A34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link w:val="8"/>
    <w:qFormat/>
    <w:uiPriority w:val="0"/>
    <w:pPr>
      <w:tabs>
        <w:tab w:val="center" w:pos="4153"/>
        <w:tab w:val="right" w:pos="8306"/>
      </w:tabs>
      <w:snapToGrid w:val="0"/>
      <w:jc w:val="left"/>
    </w:pPr>
    <w:rPr>
      <w:sz w:val="18"/>
      <w:szCs w:val="18"/>
    </w:rPr>
  </w:style>
  <w:style w:type="paragraph" w:styleId="4">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qFormat/>
    <w:uiPriority w:val="0"/>
    <w:rPr>
      <w:kern w:val="2"/>
      <w:sz w:val="18"/>
      <w:szCs w:val="18"/>
    </w:rPr>
  </w:style>
  <w:style w:type="character" w:customStyle="1" w:styleId="8">
    <w:name w:val="页脚 Char"/>
    <w:link w:val="3"/>
    <w:qFormat/>
    <w:uiPriority w:val="0"/>
    <w:rPr>
      <w:kern w:val="2"/>
      <w:sz w:val="18"/>
      <w:szCs w:val="18"/>
    </w:rPr>
  </w:style>
  <w:style w:type="paragraph" w:customStyle="1" w:styleId="9">
    <w:name w:val="条"/>
    <w:basedOn w:val="1"/>
    <w:uiPriority w:val="0"/>
    <w:pPr>
      <w:snapToGrid w:val="0"/>
      <w:spacing w:before="50" w:beforeLines="50" w:after="50" w:afterLines="50" w:line="300" w:lineRule="auto"/>
    </w:pPr>
    <w:rPr>
      <w:rFonts w:eastAsia="黑体"/>
      <w:sz w:val="28"/>
      <w:szCs w:val="24"/>
    </w:rPr>
  </w:style>
  <w:style w:type="paragraph" w:customStyle="1" w:styleId="10">
    <w:name w:val="正文格式"/>
    <w:basedOn w:val="1"/>
    <w:link w:val="12"/>
    <w:qFormat/>
    <w:uiPriority w:val="0"/>
    <w:pPr>
      <w:spacing w:line="360" w:lineRule="auto"/>
      <w:ind w:firstLine="200" w:firstLineChars="200"/>
    </w:pPr>
    <w:rPr>
      <w:szCs w:val="24"/>
    </w:rPr>
  </w:style>
  <w:style w:type="paragraph" w:customStyle="1" w:styleId="11">
    <w:name w:val="参考文献"/>
    <w:basedOn w:val="1"/>
    <w:link w:val="13"/>
    <w:qFormat/>
    <w:uiPriority w:val="0"/>
    <w:pPr>
      <w:spacing w:line="360" w:lineRule="auto"/>
      <w:ind w:left="420" w:hanging="420"/>
      <w:textAlignment w:val="baseline"/>
    </w:pPr>
    <w:rPr>
      <w:rFonts w:cs="楷体_GB2312"/>
      <w:szCs w:val="24"/>
    </w:rPr>
  </w:style>
  <w:style w:type="character" w:customStyle="1" w:styleId="12">
    <w:name w:val="正文格式 字符"/>
    <w:link w:val="10"/>
    <w:uiPriority w:val="0"/>
    <w:rPr>
      <w:kern w:val="2"/>
      <w:sz w:val="24"/>
      <w:szCs w:val="24"/>
    </w:rPr>
  </w:style>
  <w:style w:type="character" w:customStyle="1" w:styleId="13">
    <w:name w:val="参考文献 字符"/>
    <w:link w:val="11"/>
    <w:uiPriority w:val="0"/>
    <w:rPr>
      <w:rFonts w:cs="楷体_GB2312"/>
      <w:kern w:val="2"/>
      <w:sz w:val="24"/>
      <w:szCs w:val="24"/>
    </w:rPr>
  </w:style>
  <w:style w:type="paragraph" w:customStyle="1" w:styleId="14">
    <w:name w:val="Revision"/>
    <w:hidden/>
    <w:semiHidden/>
    <w:qFormat/>
    <w:uiPriority w:val="99"/>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11</Pages>
  <Words>6692</Words>
  <Characters>11282</Characters>
  <Lines>82</Lines>
  <Paragraphs>45</Paragraphs>
  <TotalTime>1</TotalTime>
  <ScaleCrop>false</ScaleCrop>
  <LinksUpToDate>false</LinksUpToDate>
  <CharactersWithSpaces>12175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2026-09-23T01:24:00Z</dcterms:created>
  <dc:creator>JW112</dc:creator>
  <cp:lastModifiedBy>张卫恒</cp:lastModifiedBy>
  <cp:lastPrinted>2026-05-08T02:40:00Z</cp:lastPrinted>
  <dcterms:modified xsi:type="dcterms:W3CDTF">2026-10-10T20:48:44Z</dcterms:modified>
  <dc:title>附录1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eyJoZGlkIjoiODQ2ZDc5NWZlNjc1N2YxMjNkYmZlOWYyNzcyODc0ZDgiLCJ1c2VySWQiOiIxNjEyNDcyMTYzIn0=</vt:lpwstr>
  </property>
  <property fmtid="{D5CDD505-2E9C-101B-9397-08002B2CF9AE}" pid="3" name="KSOProductBuildVer">
    <vt:lpwstr>2052-12.1.0.28043</vt:lpwstr>
  </property>
  <property fmtid="{D5CDD505-2E9C-101B-9397-08002B2CF9AE}" pid="4" name="ICV">
    <vt:lpwstr>26F2833D93EF4C18812FA4C5DEB8A377_12</vt:lpwstr>
  </property>
</Properties>
</file>