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BBBF4C">
      <w:pPr>
        <w:ind w:firstLine="480"/>
        <w:rPr>
          <w:rFonts w:hint="eastAsia"/>
        </w:rPr>
      </w:pPr>
      <w:r>
        <w:rPr>
          <w:rFonts w:hint="eastAsia"/>
        </w:rPr>
        <w:t xml:space="preserve"> </w:t>
      </w:r>
    </w:p>
    <w:p w14:paraId="13A69A28">
      <w:pPr>
        <w:ind w:firstLine="480"/>
        <w:rPr>
          <w:rFonts w:hint="eastAsia"/>
        </w:rPr>
      </w:pPr>
    </w:p>
    <w:p w14:paraId="7974B84F">
      <w:pPr>
        <w:ind w:firstLine="480"/>
      </w:pPr>
    </w:p>
    <w:p w14:paraId="0DCFAF5B">
      <w:pPr>
        <w:ind w:firstLine="480"/>
        <w:rPr>
          <w:rFonts w:hint="eastAsia"/>
        </w:rPr>
      </w:pPr>
      <w:r>
        <w:pict>
          <v:shape id="_x0000_s2050" o:spid="_x0000_s2050" o:spt="75" type="#_x0000_t75" style="position:absolute;left:0pt;margin-left:105pt;margin-top:21pt;height:49.2pt;width:200pt;mso-wrap-distance-bottom:0pt;mso-wrap-distance-top:0pt;z-index:251659264;mso-width-relative:page;mso-height-relative:page;" filled="f" o:preferrelative="t" stroked="f" coordsize="21600,21600">
            <v:path/>
            <v:fill on="f" focussize="0,0"/>
            <v:stroke on="f" joinstyle="miter"/>
            <v:imagedata r:id="rId4" o:title="同济大学字"/>
            <o:lock v:ext="edit" aspectratio="t"/>
            <w10:wrap type="topAndBottom"/>
          </v:shape>
        </w:pict>
      </w:r>
    </w:p>
    <w:p w14:paraId="7386E4E3">
      <w:pPr>
        <w:ind w:firstLine="480"/>
        <w:rPr>
          <w:rFonts w:hint="eastAsia"/>
        </w:rPr>
      </w:pPr>
    </w:p>
    <w:p w14:paraId="1907C676">
      <w:pPr>
        <w:spacing w:line="240" w:lineRule="auto"/>
        <w:rPr>
          <w:rFonts w:hint="eastAsia" w:ascii="黑体" w:eastAsia="黑体"/>
          <w:sz w:val="72"/>
        </w:rPr>
      </w:pPr>
      <w:r>
        <w:rPr>
          <w:rFonts w:ascii="黑体" w:eastAsia="黑体"/>
          <w:sz w:val="48"/>
        </w:rPr>
        <w:t xml:space="preserve"> </w:t>
      </w:r>
      <w:r>
        <w:rPr>
          <w:rFonts w:hint="eastAsia" w:ascii="黑体" w:eastAsia="黑体"/>
          <w:sz w:val="72"/>
        </w:rPr>
        <w:t>毕业设计</w:t>
      </w:r>
      <w:r>
        <w:rPr>
          <w:rFonts w:hint="eastAsia" w:ascii="宋体" w:hAnsi="宋体"/>
          <w:sz w:val="72"/>
        </w:rPr>
        <w:t>(</w:t>
      </w:r>
      <w:r>
        <w:rPr>
          <w:rFonts w:hint="eastAsia" w:ascii="黑体" w:eastAsia="黑体"/>
          <w:sz w:val="72"/>
        </w:rPr>
        <w:t>论文</w:t>
      </w:r>
      <w:r>
        <w:rPr>
          <w:rFonts w:hint="eastAsia" w:ascii="宋体" w:hAnsi="宋体"/>
          <w:sz w:val="72"/>
        </w:rPr>
        <w:t>)</w:t>
      </w:r>
      <w:r>
        <w:rPr>
          <w:rFonts w:hint="eastAsia" w:ascii="黑体" w:eastAsia="黑体"/>
          <w:sz w:val="72"/>
        </w:rPr>
        <w:t>开题报告</w:t>
      </w:r>
    </w:p>
    <w:p w14:paraId="5A556938">
      <w:pPr>
        <w:ind w:firstLine="480"/>
        <w:rPr>
          <w:rFonts w:hint="eastAsia" w:ascii="黑体" w:eastAsia="黑体"/>
          <w:szCs w:val="21"/>
        </w:rPr>
      </w:pPr>
    </w:p>
    <w:p w14:paraId="19B266B5">
      <w:pPr>
        <w:ind w:firstLine="640"/>
        <w:rPr>
          <w:rFonts w:ascii="黑体" w:eastAsia="黑体"/>
          <w:sz w:val="32"/>
          <w:szCs w:val="32"/>
        </w:rPr>
      </w:pPr>
    </w:p>
    <w:p w14:paraId="6C1AEDAA">
      <w:pPr>
        <w:ind w:firstLine="640"/>
        <w:rPr>
          <w:rFonts w:hint="eastAsia"/>
          <w:sz w:val="32"/>
        </w:rPr>
      </w:pPr>
    </w:p>
    <w:p w14:paraId="601C90A3">
      <w:pPr>
        <w:ind w:firstLine="640"/>
        <w:rPr>
          <w:rFonts w:hint="eastAsia"/>
          <w:sz w:val="32"/>
        </w:rPr>
      </w:pPr>
    </w:p>
    <w:tbl>
      <w:tblPr>
        <w:tblStyle w:val="5"/>
        <w:tblW w:w="7470" w:type="dxa"/>
        <w:jc w:val="center"/>
        <w:tblLayout w:type="fixed"/>
        <w:tblCellMar>
          <w:top w:w="0" w:type="dxa"/>
          <w:left w:w="108" w:type="dxa"/>
          <w:bottom w:w="0" w:type="dxa"/>
          <w:right w:w="108" w:type="dxa"/>
        </w:tblCellMar>
      </w:tblPr>
      <w:tblGrid>
        <w:gridCol w:w="1863"/>
        <w:gridCol w:w="1642"/>
        <w:gridCol w:w="1298"/>
        <w:gridCol w:w="2667"/>
      </w:tblGrid>
      <w:tr w14:paraId="4C10941E">
        <w:tblPrEx>
          <w:tblCellMar>
            <w:top w:w="0" w:type="dxa"/>
            <w:left w:w="108" w:type="dxa"/>
            <w:bottom w:w="0" w:type="dxa"/>
            <w:right w:w="108" w:type="dxa"/>
          </w:tblCellMar>
        </w:tblPrEx>
        <w:trPr>
          <w:trHeight w:val="848" w:hRule="atLeast"/>
          <w:jc w:val="center"/>
        </w:trPr>
        <w:tc>
          <w:tcPr>
            <w:tcW w:w="1863" w:type="dxa"/>
            <w:vAlign w:val="bottom"/>
          </w:tcPr>
          <w:p w14:paraId="42E59D0C">
            <w:pPr>
              <w:snapToGrid w:val="0"/>
              <w:rPr>
                <w:rFonts w:ascii="宋体" w:hAnsi="宋体"/>
                <w:sz w:val="28"/>
                <w:szCs w:val="28"/>
              </w:rPr>
            </w:pPr>
            <w:permStart w:id="0" w:edGrp="everyone" w:colFirst="1" w:colLast="1"/>
            <w:r>
              <w:rPr>
                <w:rFonts w:ascii="宋体" w:hAnsi="宋体"/>
                <w:sz w:val="28"/>
                <w:szCs w:val="28"/>
              </w:rPr>
              <w:t>课题名称</w:t>
            </w:r>
          </w:p>
        </w:tc>
        <w:tc>
          <w:tcPr>
            <w:tcW w:w="5607" w:type="dxa"/>
            <w:gridSpan w:val="3"/>
            <w:tcBorders>
              <w:bottom w:val="single" w:color="auto" w:sz="4" w:space="0"/>
            </w:tcBorders>
            <w:vAlign w:val="bottom"/>
          </w:tcPr>
          <w:p w14:paraId="7DC6BB69">
            <w:pPr>
              <w:spacing w:before="0" w:after="0" w:line="240" w:lineRule="auto"/>
              <w:jc w:val="center"/>
              <w:rPr>
                <w:rFonts w:ascii="宋体" w:hAnsi="宋体"/>
                <w:sz w:val="28"/>
                <w:szCs w:val="28"/>
              </w:rPr>
            </w:pPr>
            <w:r>
              <w:rPr>
                <w:rFonts w:ascii="Times New Roman" w:hAnsi="Times New Roman" w:eastAsia="宋体" w:cs="Times New Roman"/>
                <w:b w:val="0"/>
                <w:sz w:val="28"/>
              </w:rPr>
              <w:t>基于PX4的水下航行器模型控制方法研究</w:t>
            </w:r>
          </w:p>
        </w:tc>
      </w:tr>
      <w:permEnd w:id="0"/>
      <w:tr w14:paraId="2E96675F">
        <w:tblPrEx>
          <w:tblCellMar>
            <w:top w:w="0" w:type="dxa"/>
            <w:left w:w="108" w:type="dxa"/>
            <w:bottom w:w="0" w:type="dxa"/>
            <w:right w:w="108" w:type="dxa"/>
          </w:tblCellMar>
        </w:tblPrEx>
        <w:trPr>
          <w:trHeight w:val="848" w:hRule="atLeast"/>
          <w:jc w:val="center"/>
        </w:trPr>
        <w:tc>
          <w:tcPr>
            <w:tcW w:w="1863" w:type="dxa"/>
            <w:vAlign w:val="bottom"/>
          </w:tcPr>
          <w:p w14:paraId="330F2F2C">
            <w:pPr>
              <w:rPr>
                <w:rFonts w:ascii="宋体" w:hAnsi="宋体"/>
                <w:sz w:val="28"/>
                <w:szCs w:val="28"/>
              </w:rPr>
            </w:pPr>
            <w:permStart w:id="1" w:edGrp="everyone" w:colFirst="1" w:colLast="1"/>
            <w:r>
              <w:rPr>
                <w:rFonts w:ascii="宋体" w:hAnsi="宋体"/>
                <w:spacing w:val="-18"/>
                <w:sz w:val="28"/>
                <w:szCs w:val="28"/>
              </w:rPr>
              <w:t>副 标 题</w:t>
            </w:r>
          </w:p>
        </w:tc>
        <w:tc>
          <w:tcPr>
            <w:tcW w:w="5607" w:type="dxa"/>
            <w:gridSpan w:val="3"/>
            <w:tcBorders>
              <w:top w:val="single" w:color="auto" w:sz="4" w:space="0"/>
              <w:bottom w:val="single" w:color="auto" w:sz="4" w:space="0"/>
            </w:tcBorders>
            <w:vAlign w:val="bottom"/>
          </w:tcPr>
          <w:p w14:paraId="68917084">
            <w:pPr>
              <w:rPr>
                <w:rFonts w:ascii="宋体" w:hAnsi="宋体"/>
                <w:sz w:val="28"/>
                <w:szCs w:val="28"/>
              </w:rPr>
            </w:pPr>
          </w:p>
        </w:tc>
      </w:tr>
      <w:permEnd w:id="1"/>
      <w:tr w14:paraId="532EA6F6">
        <w:tblPrEx>
          <w:tblCellMar>
            <w:top w:w="0" w:type="dxa"/>
            <w:left w:w="108" w:type="dxa"/>
            <w:bottom w:w="0" w:type="dxa"/>
            <w:right w:w="108" w:type="dxa"/>
          </w:tblCellMar>
        </w:tblPrEx>
        <w:trPr>
          <w:trHeight w:val="848" w:hRule="atLeast"/>
          <w:jc w:val="center"/>
        </w:trPr>
        <w:tc>
          <w:tcPr>
            <w:tcW w:w="1863" w:type="dxa"/>
            <w:vAlign w:val="bottom"/>
          </w:tcPr>
          <w:p w14:paraId="5B08852C">
            <w:pPr>
              <w:rPr>
                <w:rFonts w:ascii="宋体" w:hAnsi="宋体"/>
                <w:sz w:val="28"/>
                <w:szCs w:val="28"/>
              </w:rPr>
            </w:pPr>
            <w:permStart w:id="2" w:edGrp="everyone" w:colFirst="1" w:colLast="1"/>
            <w:r>
              <w:rPr>
                <w:rFonts w:ascii="宋体" w:hAnsi="宋体"/>
                <w:sz w:val="28"/>
                <w:szCs w:val="28"/>
              </w:rPr>
              <w:t>学</w:t>
            </w:r>
            <w:r>
              <w:rPr>
                <w:rFonts w:hint="eastAsia" w:ascii="宋体" w:hAnsi="宋体"/>
                <w:sz w:val="28"/>
                <w:szCs w:val="28"/>
              </w:rPr>
              <w:t xml:space="preserve">    </w:t>
            </w:r>
            <w:r>
              <w:rPr>
                <w:rFonts w:ascii="宋体" w:hAnsi="宋体"/>
                <w:sz w:val="28"/>
                <w:szCs w:val="28"/>
              </w:rPr>
              <w:t>院</w:t>
            </w:r>
            <w:r>
              <w:rPr>
                <w:rFonts w:hint="eastAsia" w:ascii="宋体" w:hAnsi="宋体"/>
                <w:sz w:val="28"/>
                <w:szCs w:val="28"/>
              </w:rPr>
              <w:t xml:space="preserve"> </w:t>
            </w:r>
          </w:p>
        </w:tc>
        <w:tc>
          <w:tcPr>
            <w:tcW w:w="5607" w:type="dxa"/>
            <w:gridSpan w:val="3"/>
            <w:tcBorders>
              <w:top w:val="single" w:color="auto" w:sz="4" w:space="0"/>
              <w:bottom w:val="single" w:color="auto" w:sz="4" w:space="0"/>
            </w:tcBorders>
            <w:vAlign w:val="bottom"/>
          </w:tcPr>
          <w:p w14:paraId="70E9C4C5">
            <w:pPr>
              <w:spacing w:before="0" w:after="0" w:line="240" w:lineRule="auto"/>
              <w:jc w:val="center"/>
              <w:rPr>
                <w:rFonts w:ascii="宋体" w:hAnsi="宋体"/>
                <w:sz w:val="28"/>
                <w:szCs w:val="28"/>
              </w:rPr>
            </w:pPr>
            <w:r>
              <w:rPr>
                <w:rFonts w:ascii="Times New Roman" w:hAnsi="Times New Roman" w:eastAsia="宋体" w:cs="Times New Roman"/>
                <w:b w:val="0"/>
                <w:sz w:val="28"/>
              </w:rPr>
              <w:t>机械工程与机器人学院</w:t>
            </w:r>
          </w:p>
        </w:tc>
      </w:tr>
      <w:permEnd w:id="2"/>
      <w:tr w14:paraId="14C5218E">
        <w:tblPrEx>
          <w:tblCellMar>
            <w:top w:w="0" w:type="dxa"/>
            <w:left w:w="108" w:type="dxa"/>
            <w:bottom w:w="0" w:type="dxa"/>
            <w:right w:w="108" w:type="dxa"/>
          </w:tblCellMar>
        </w:tblPrEx>
        <w:trPr>
          <w:trHeight w:val="848" w:hRule="atLeast"/>
          <w:jc w:val="center"/>
        </w:trPr>
        <w:tc>
          <w:tcPr>
            <w:tcW w:w="1863" w:type="dxa"/>
            <w:vAlign w:val="bottom"/>
          </w:tcPr>
          <w:p w14:paraId="3FC80CB3">
            <w:pPr>
              <w:rPr>
                <w:rFonts w:ascii="宋体" w:hAnsi="宋体"/>
                <w:sz w:val="28"/>
                <w:szCs w:val="28"/>
              </w:rPr>
            </w:pPr>
            <w:permStart w:id="3" w:edGrp="everyone" w:colFirst="1" w:colLast="1"/>
            <w:r>
              <w:rPr>
                <w:rFonts w:ascii="宋体" w:hAnsi="宋体"/>
                <w:sz w:val="28"/>
                <w:szCs w:val="28"/>
              </w:rPr>
              <w:t>专    业</w:t>
            </w:r>
          </w:p>
        </w:tc>
        <w:tc>
          <w:tcPr>
            <w:tcW w:w="5607" w:type="dxa"/>
            <w:gridSpan w:val="3"/>
            <w:tcBorders>
              <w:top w:val="single" w:color="auto" w:sz="4" w:space="0"/>
              <w:bottom w:val="single" w:color="auto" w:sz="4" w:space="0"/>
            </w:tcBorders>
            <w:vAlign w:val="bottom"/>
          </w:tcPr>
          <w:p w14:paraId="789C06FD">
            <w:pPr>
              <w:spacing w:before="0" w:after="0" w:line="240" w:lineRule="auto"/>
              <w:jc w:val="center"/>
              <w:rPr>
                <w:rFonts w:ascii="宋体" w:hAnsi="宋体"/>
                <w:sz w:val="28"/>
                <w:szCs w:val="28"/>
              </w:rPr>
            </w:pPr>
            <w:r>
              <w:rPr>
                <w:rFonts w:ascii="Times New Roman" w:hAnsi="Times New Roman" w:eastAsia="宋体" w:cs="Times New Roman"/>
                <w:b w:val="0"/>
                <w:sz w:val="28"/>
              </w:rPr>
              <w:t>机械设计制造及其自动化</w:t>
            </w:r>
          </w:p>
        </w:tc>
      </w:tr>
      <w:permEnd w:id="3"/>
      <w:tr w14:paraId="3F37394E">
        <w:tblPrEx>
          <w:tblCellMar>
            <w:top w:w="0" w:type="dxa"/>
            <w:left w:w="108" w:type="dxa"/>
            <w:bottom w:w="0" w:type="dxa"/>
            <w:right w:w="108" w:type="dxa"/>
          </w:tblCellMar>
        </w:tblPrEx>
        <w:trPr>
          <w:trHeight w:val="848" w:hRule="atLeast"/>
          <w:jc w:val="center"/>
        </w:trPr>
        <w:tc>
          <w:tcPr>
            <w:tcW w:w="1863" w:type="dxa"/>
            <w:vAlign w:val="bottom"/>
          </w:tcPr>
          <w:p w14:paraId="69A511FC">
            <w:pPr>
              <w:rPr>
                <w:rFonts w:ascii="宋体" w:hAnsi="宋体"/>
                <w:sz w:val="28"/>
                <w:szCs w:val="28"/>
              </w:rPr>
            </w:pPr>
            <w:permStart w:id="4" w:edGrp="everyone" w:colFirst="1" w:colLast="1"/>
            <w:permStart w:id="5" w:edGrp="everyone" w:colFirst="3" w:colLast="3"/>
            <w:r>
              <w:rPr>
                <w:rFonts w:ascii="宋体" w:hAnsi="宋体"/>
                <w:sz w:val="28"/>
                <w:szCs w:val="28"/>
              </w:rPr>
              <w:t>学生姓名</w:t>
            </w:r>
          </w:p>
        </w:tc>
        <w:tc>
          <w:tcPr>
            <w:tcW w:w="1642" w:type="dxa"/>
            <w:tcBorders>
              <w:bottom w:val="single" w:color="auto" w:sz="4" w:space="0"/>
            </w:tcBorders>
            <w:vAlign w:val="bottom"/>
          </w:tcPr>
          <w:p w14:paraId="7CAFE2BC">
            <w:pPr>
              <w:spacing w:before="0" w:after="0" w:line="240" w:lineRule="auto"/>
              <w:jc w:val="center"/>
              <w:rPr>
                <w:rFonts w:ascii="宋体" w:hAnsi="宋体"/>
                <w:sz w:val="28"/>
                <w:szCs w:val="28"/>
              </w:rPr>
            </w:pPr>
            <w:r>
              <w:rPr>
                <w:rFonts w:ascii="Times New Roman" w:hAnsi="Times New Roman" w:eastAsia="宋体" w:cs="Times New Roman"/>
                <w:b w:val="0"/>
                <w:sz w:val="28"/>
              </w:rPr>
              <w:t>张卫恒</w:t>
            </w:r>
          </w:p>
        </w:tc>
        <w:tc>
          <w:tcPr>
            <w:tcW w:w="1298" w:type="dxa"/>
            <w:vAlign w:val="bottom"/>
          </w:tcPr>
          <w:p w14:paraId="029A3F9C">
            <w:pPr>
              <w:rPr>
                <w:rFonts w:ascii="宋体" w:hAnsi="宋体"/>
                <w:sz w:val="28"/>
                <w:szCs w:val="28"/>
              </w:rPr>
            </w:pPr>
            <w:r>
              <w:rPr>
                <w:rFonts w:ascii="宋体" w:hAnsi="宋体"/>
                <w:sz w:val="28"/>
                <w:szCs w:val="28"/>
              </w:rPr>
              <w:t>学 号</w:t>
            </w:r>
          </w:p>
        </w:tc>
        <w:tc>
          <w:tcPr>
            <w:tcW w:w="2667" w:type="dxa"/>
            <w:tcBorders>
              <w:bottom w:val="single" w:color="auto" w:sz="4" w:space="0"/>
            </w:tcBorders>
            <w:vAlign w:val="bottom"/>
          </w:tcPr>
          <w:p w14:paraId="7286FA24">
            <w:pPr>
              <w:spacing w:before="0" w:after="0" w:line="240" w:lineRule="auto"/>
              <w:jc w:val="center"/>
              <w:rPr>
                <w:rFonts w:ascii="宋体" w:hAnsi="宋体"/>
                <w:sz w:val="28"/>
                <w:szCs w:val="28"/>
              </w:rPr>
            </w:pPr>
            <w:r>
              <w:rPr>
                <w:rFonts w:ascii="Times New Roman" w:hAnsi="Times New Roman" w:eastAsia="宋体" w:cs="Times New Roman"/>
                <w:b w:val="0"/>
                <w:sz w:val="28"/>
              </w:rPr>
              <w:t>2352407</w:t>
            </w:r>
          </w:p>
        </w:tc>
      </w:tr>
      <w:permEnd w:id="4"/>
      <w:permEnd w:id="5"/>
      <w:tr w14:paraId="055FFB75">
        <w:tblPrEx>
          <w:tblCellMar>
            <w:top w:w="0" w:type="dxa"/>
            <w:left w:w="108" w:type="dxa"/>
            <w:bottom w:w="0" w:type="dxa"/>
            <w:right w:w="108" w:type="dxa"/>
          </w:tblCellMar>
        </w:tblPrEx>
        <w:trPr>
          <w:trHeight w:val="848" w:hRule="atLeast"/>
          <w:jc w:val="center"/>
        </w:trPr>
        <w:tc>
          <w:tcPr>
            <w:tcW w:w="1863" w:type="dxa"/>
            <w:vAlign w:val="bottom"/>
          </w:tcPr>
          <w:p w14:paraId="449E4A6A">
            <w:pPr>
              <w:ind w:firstLine="560"/>
              <w:rPr>
                <w:sz w:val="28"/>
                <w:szCs w:val="28"/>
              </w:rPr>
            </w:pPr>
          </w:p>
          <w:p w14:paraId="07999FA0">
            <w:pPr>
              <w:ind w:firstLine="560"/>
              <w:rPr>
                <w:sz w:val="28"/>
                <w:szCs w:val="28"/>
              </w:rPr>
            </w:pPr>
          </w:p>
          <w:p w14:paraId="2B8D6BCF">
            <w:pPr>
              <w:ind w:firstLine="560"/>
              <w:rPr>
                <w:sz w:val="28"/>
                <w:szCs w:val="28"/>
              </w:rPr>
            </w:pPr>
          </w:p>
          <w:p w14:paraId="6B6D9DE4">
            <w:pPr>
              <w:ind w:firstLine="560"/>
              <w:rPr>
                <w:sz w:val="28"/>
                <w:szCs w:val="28"/>
              </w:rPr>
            </w:pPr>
          </w:p>
        </w:tc>
        <w:tc>
          <w:tcPr>
            <w:tcW w:w="1642" w:type="dxa"/>
            <w:tcBorders>
              <w:top w:val="single" w:color="auto" w:sz="4" w:space="0"/>
            </w:tcBorders>
            <w:vAlign w:val="bottom"/>
          </w:tcPr>
          <w:p w14:paraId="674F2EC9">
            <w:pPr>
              <w:ind w:firstLine="560"/>
              <w:jc w:val="center"/>
              <w:rPr>
                <w:sz w:val="28"/>
                <w:szCs w:val="28"/>
              </w:rPr>
            </w:pPr>
          </w:p>
        </w:tc>
        <w:tc>
          <w:tcPr>
            <w:tcW w:w="1298" w:type="dxa"/>
            <w:vAlign w:val="bottom"/>
          </w:tcPr>
          <w:p w14:paraId="63C2B1B4">
            <w:pPr>
              <w:ind w:firstLine="560"/>
              <w:jc w:val="center"/>
              <w:rPr>
                <w:sz w:val="28"/>
                <w:szCs w:val="28"/>
              </w:rPr>
            </w:pPr>
          </w:p>
        </w:tc>
        <w:tc>
          <w:tcPr>
            <w:tcW w:w="2667" w:type="dxa"/>
            <w:vAlign w:val="bottom"/>
          </w:tcPr>
          <w:p w14:paraId="3F283AAE">
            <w:pPr>
              <w:ind w:firstLine="560"/>
              <w:jc w:val="center"/>
              <w:rPr>
                <w:sz w:val="28"/>
                <w:szCs w:val="28"/>
              </w:rPr>
            </w:pPr>
          </w:p>
        </w:tc>
      </w:tr>
    </w:tbl>
    <w:p w14:paraId="4E3E6D9A">
      <w:pPr>
        <w:ind w:firstLine="600"/>
        <w:rPr>
          <w:rFonts w:hint="eastAsia" w:ascii="黑体" w:eastAsia="黑体"/>
          <w:sz w:val="30"/>
        </w:rPr>
      </w:pPr>
    </w:p>
    <w:p w14:paraId="4BFF8C54">
      <w:pPr>
        <w:ind w:firstLine="600"/>
        <w:rPr>
          <w:rFonts w:hint="eastAsia" w:ascii="黑体" w:eastAsia="黑体"/>
          <w:sz w:val="30"/>
        </w:rPr>
      </w:pPr>
    </w:p>
    <w:p w14:paraId="25B75520">
      <w:pPr>
        <w:ind w:firstLine="600"/>
        <w:rPr>
          <w:rFonts w:hint="eastAsia" w:ascii="黑体" w:eastAsia="黑体"/>
          <w:sz w:val="30"/>
        </w:rPr>
      </w:pPr>
    </w:p>
    <w:p w14:paraId="0549619A">
      <w:pPr>
        <w:ind w:firstLine="600"/>
        <w:rPr>
          <w:rFonts w:hint="eastAsia" w:ascii="黑体" w:eastAsia="黑体"/>
          <w:sz w:val="30"/>
        </w:rPr>
      </w:pPr>
    </w:p>
    <w:p w14:paraId="6B321487">
      <w:pPr>
        <w:ind w:firstLine="600"/>
        <w:rPr>
          <w:rFonts w:hint="eastAsia" w:ascii="黑体" w:eastAsia="黑体"/>
          <w:sz w:val="30"/>
        </w:rPr>
      </w:pPr>
    </w:p>
    <w:tbl>
      <w:tblPr>
        <w:tblStyle w:val="5"/>
        <w:tblW w:w="0" w:type="auto"/>
        <w:jc w:val="center"/>
        <w:tblLayout w:type="fixed"/>
        <w:tblCellMar>
          <w:top w:w="0" w:type="dxa"/>
          <w:left w:w="108" w:type="dxa"/>
          <w:bottom w:w="0" w:type="dxa"/>
          <w:right w:w="108" w:type="dxa"/>
        </w:tblCellMar>
      </w:tblPr>
      <w:tblGrid>
        <w:gridCol w:w="1126"/>
        <w:gridCol w:w="850"/>
        <w:gridCol w:w="727"/>
        <w:gridCol w:w="446"/>
        <w:gridCol w:w="629"/>
        <w:gridCol w:w="466"/>
      </w:tblGrid>
      <w:tr w14:paraId="612BED1A">
        <w:tblPrEx>
          <w:tblCellMar>
            <w:top w:w="0" w:type="dxa"/>
            <w:left w:w="108" w:type="dxa"/>
            <w:bottom w:w="0" w:type="dxa"/>
            <w:right w:w="108" w:type="dxa"/>
          </w:tblCellMar>
        </w:tblPrEx>
        <w:trPr>
          <w:trHeight w:val="439" w:hRule="atLeast"/>
          <w:jc w:val="center"/>
        </w:trPr>
        <w:tc>
          <w:tcPr>
            <w:tcW w:w="1126" w:type="dxa"/>
            <w:tcBorders>
              <w:bottom w:val="single" w:color="auto" w:sz="4" w:space="0"/>
            </w:tcBorders>
            <w:vAlign w:val="bottom"/>
          </w:tcPr>
          <w:p w14:paraId="7B4A7919">
            <w:pPr>
              <w:spacing w:before="0" w:after="0" w:line="240" w:lineRule="auto"/>
              <w:jc w:val="center"/>
              <w:rPr>
                <w:rFonts w:hint="eastAsia" w:ascii="宋体" w:hAnsi="宋体"/>
                <w:sz w:val="28"/>
                <w:szCs w:val="28"/>
              </w:rPr>
            </w:pPr>
            <w:permStart w:id="6" w:edGrp="everyone" w:colFirst="0" w:colLast="0"/>
            <w:permStart w:id="7" w:edGrp="everyone" w:colFirst="2" w:colLast="2"/>
            <w:permStart w:id="8" w:edGrp="everyone" w:colFirst="4" w:colLast="4"/>
            <w:r>
              <w:rPr>
                <w:rFonts w:ascii="Times New Roman" w:hAnsi="Times New Roman" w:eastAsia="宋体" w:cs="Times New Roman"/>
                <w:b w:val="0"/>
                <w:sz w:val="28"/>
              </w:rPr>
              <w:t>2026</w:t>
            </w:r>
          </w:p>
        </w:tc>
        <w:tc>
          <w:tcPr>
            <w:tcW w:w="850" w:type="dxa"/>
            <w:vAlign w:val="bottom"/>
          </w:tcPr>
          <w:p w14:paraId="7314B03C">
            <w:pPr>
              <w:jc w:val="center"/>
              <w:rPr>
                <w:rFonts w:hint="eastAsia" w:ascii="宋体" w:hAnsi="宋体"/>
                <w:sz w:val="28"/>
                <w:szCs w:val="28"/>
              </w:rPr>
            </w:pPr>
            <w:r>
              <w:rPr>
                <w:rFonts w:hint="eastAsia" w:ascii="宋体" w:hAnsi="宋体"/>
                <w:sz w:val="28"/>
                <w:szCs w:val="28"/>
              </w:rPr>
              <w:t>年</w:t>
            </w:r>
          </w:p>
        </w:tc>
        <w:tc>
          <w:tcPr>
            <w:tcW w:w="727" w:type="dxa"/>
            <w:tcBorders>
              <w:bottom w:val="single" w:color="auto" w:sz="4" w:space="0"/>
            </w:tcBorders>
            <w:vAlign w:val="bottom"/>
          </w:tcPr>
          <w:p w14:paraId="7BB9ED3F">
            <w:pPr>
              <w:spacing w:before="0" w:after="0" w:line="240" w:lineRule="auto"/>
              <w:jc w:val="center"/>
              <w:rPr>
                <w:rFonts w:hint="eastAsia" w:ascii="宋体" w:hAnsi="宋体"/>
                <w:sz w:val="28"/>
                <w:szCs w:val="28"/>
              </w:rPr>
            </w:pPr>
            <w:r>
              <w:rPr>
                <w:rFonts w:ascii="Times New Roman" w:hAnsi="Times New Roman" w:eastAsia="宋体" w:cs="Times New Roman"/>
                <w:b w:val="0"/>
                <w:sz w:val="28"/>
              </w:rPr>
              <w:t>10</w:t>
            </w:r>
          </w:p>
        </w:tc>
        <w:tc>
          <w:tcPr>
            <w:tcW w:w="446" w:type="dxa"/>
            <w:vAlign w:val="bottom"/>
          </w:tcPr>
          <w:p w14:paraId="26CF890B">
            <w:pPr>
              <w:jc w:val="center"/>
              <w:rPr>
                <w:rFonts w:hint="eastAsia" w:ascii="宋体" w:hAnsi="宋体"/>
                <w:sz w:val="28"/>
                <w:szCs w:val="28"/>
              </w:rPr>
            </w:pPr>
            <w:r>
              <w:rPr>
                <w:rFonts w:hint="eastAsia" w:ascii="宋体" w:hAnsi="宋体"/>
                <w:sz w:val="28"/>
                <w:szCs w:val="28"/>
              </w:rPr>
              <w:t>月</w:t>
            </w:r>
          </w:p>
        </w:tc>
        <w:tc>
          <w:tcPr>
            <w:tcW w:w="629" w:type="dxa"/>
            <w:tcBorders>
              <w:bottom w:val="single" w:color="auto" w:sz="4" w:space="0"/>
            </w:tcBorders>
            <w:vAlign w:val="bottom"/>
          </w:tcPr>
          <w:p w14:paraId="02C927EB">
            <w:pPr>
              <w:spacing w:before="0" w:after="0" w:line="240" w:lineRule="auto"/>
              <w:jc w:val="center"/>
              <w:rPr>
                <w:rFonts w:hint="eastAsia" w:ascii="宋体" w:hAnsi="宋体"/>
                <w:sz w:val="28"/>
                <w:szCs w:val="28"/>
              </w:rPr>
            </w:pPr>
            <w:r>
              <w:rPr>
                <w:rFonts w:ascii="Times New Roman" w:hAnsi="Times New Roman" w:eastAsia="宋体" w:cs="Times New Roman"/>
                <w:b w:val="0"/>
                <w:sz w:val="28"/>
              </w:rPr>
              <w:t>9</w:t>
            </w:r>
          </w:p>
        </w:tc>
        <w:tc>
          <w:tcPr>
            <w:tcW w:w="466" w:type="dxa"/>
            <w:vAlign w:val="bottom"/>
          </w:tcPr>
          <w:p w14:paraId="7A0D0955">
            <w:pPr>
              <w:jc w:val="center"/>
              <w:rPr>
                <w:rFonts w:hint="eastAsia" w:ascii="宋体" w:hAnsi="宋体"/>
                <w:sz w:val="28"/>
                <w:szCs w:val="28"/>
              </w:rPr>
            </w:pPr>
            <w:r>
              <w:rPr>
                <w:rFonts w:hint="eastAsia" w:ascii="宋体" w:hAnsi="宋体"/>
                <w:sz w:val="28"/>
                <w:szCs w:val="28"/>
              </w:rPr>
              <w:t>日</w:t>
            </w:r>
          </w:p>
        </w:tc>
      </w:tr>
      <w:permEnd w:id="6"/>
      <w:permEnd w:id="7"/>
      <w:permEnd w:id="8"/>
    </w:tbl>
    <w:p w14:paraId="6D33EC83">
      <w:pPr>
        <w:ind w:firstLine="560"/>
        <w:rPr>
          <w:rFonts w:hint="eastAsia" w:ascii="宋体" w:hAnsi="宋体"/>
          <w:sz w:val="28"/>
          <w:szCs w:val="28"/>
        </w:rPr>
      </w:pPr>
    </w:p>
    <w:p w14:paraId="7C055745">
      <w:pPr>
        <w:spacing w:before="120" w:beforeLines="50" w:after="120" w:afterLines="50" w:line="360" w:lineRule="auto"/>
        <w:ind w:firstLine="560" w:firstLineChars="0"/>
        <w:rPr>
          <w:rFonts w:hint="eastAsia" w:ascii="楷体" w:hAnsi="宋体" w:eastAsia="楷体"/>
        </w:rPr>
      </w:pPr>
      <w:r>
        <w:rPr>
          <w:rFonts w:ascii="Times New Roman" w:hAnsi="Times New Roman" w:eastAsia="黑体" w:cs="Times New Roman"/>
          <w:b w:val="0"/>
          <w:sz w:val="28"/>
          <w:szCs w:val="28"/>
        </w:rPr>
        <w:br w:type="page"/>
      </w:r>
      <w:r>
        <w:rPr>
          <w:rFonts w:hint="eastAsia" w:ascii="Times New Roman" w:hAnsi="Times New Roman" w:eastAsia="黑体" w:cs="Times New Roman"/>
          <w:b w:val="0"/>
          <w:sz w:val="28"/>
        </w:rPr>
        <w:t>一、</w:t>
      </w:r>
      <w:permStart w:id="9" w:edGrp="everyone"/>
      <w:r>
        <w:rPr>
          <w:rFonts w:hint="eastAsia" w:ascii="Times New Roman" w:hAnsi="Times New Roman" w:eastAsia="黑体" w:cs="Times New Roman"/>
          <w:b w:val="0"/>
          <w:sz w:val="28"/>
        </w:rPr>
        <w:t>毕业论文</w:t>
      </w:r>
      <w:permEnd w:id="9"/>
      <w:r>
        <w:rPr>
          <w:rFonts w:hint="eastAsia" w:ascii="Times New Roman" w:hAnsi="Times New Roman" w:eastAsia="黑体" w:cs="Times New Roman"/>
          <w:b w:val="0"/>
          <w:sz w:val="28"/>
        </w:rPr>
        <w:t>课题背景</w:t>
      </w:r>
    </w:p>
    <w:p w14:paraId="26F346DF">
      <w:pPr>
        <w:pStyle w:val="9"/>
        <w:spacing w:before="120" w:beforeLines="50" w:after="120" w:afterLines="50" w:line="360" w:lineRule="auto"/>
        <w:ind w:firstLine="0" w:firstLineChars="0"/>
        <w:rPr>
          <w:sz w:val="24"/>
        </w:rPr>
      </w:pPr>
      <w:permStart w:id="10" w:edGrp="everyone"/>
      <w:r>
        <w:rPr>
          <w:rFonts w:hint="eastAsia" w:ascii="Times New Roman" w:hAnsi="Times New Roman" w:eastAsia="黑体" w:cs="Times New Roman"/>
          <w:b w:val="0"/>
          <w:sz w:val="24"/>
        </w:rPr>
        <w:t>1</w:t>
      </w:r>
      <w:r>
        <w:rPr>
          <w:rFonts w:ascii="Times New Roman" w:hAnsi="Times New Roman" w:eastAsia="黑体" w:cs="Times New Roman"/>
          <w:b w:val="0"/>
          <w:sz w:val="24"/>
        </w:rPr>
        <w:t>． 课题来源及研究的目的和意义</w:t>
      </w:r>
    </w:p>
    <w:p w14:paraId="5957FA75">
      <w:pPr>
        <w:pStyle w:val="10"/>
        <w:spacing w:before="0" w:beforeLines="0" w:after="0" w:afterLines="0" w:line="360" w:lineRule="auto"/>
        <w:ind w:firstLine="480" w:firstLineChars="200"/>
      </w:pPr>
      <w:r>
        <w:rPr>
          <w:rFonts w:ascii="Times New Roman" w:hAnsi="Times New Roman" w:eastAsia="宋体" w:cs="Times New Roman"/>
          <w:b w:val="0"/>
          <w:sz w:val="24"/>
        </w:rPr>
        <w:t>随着“海洋强国”战略的推进，水下基础设施的安全运维对小型水下航行器提出了更高要求。《“十四五”机器人产业发展规划》</w:t>
      </w:r>
      <w:r>
        <w:rPr>
          <w:rFonts w:ascii="Times New Roman" w:hAnsi="Times New Roman" w:eastAsia="宋体" w:cs="Times New Roman"/>
          <w:b w:val="0"/>
          <w:sz w:val="24"/>
          <w:vertAlign w:val="superscript"/>
        </w:rPr>
        <w:t>[1]</w:t>
      </w:r>
      <w:r>
        <w:rPr>
          <w:rFonts w:ascii="Times New Roman" w:hAnsi="Times New Roman" w:eastAsia="宋体" w:cs="Times New Roman"/>
          <w:b w:val="0"/>
          <w:sz w:val="24"/>
        </w:rPr>
        <w:t>将水下探测、监测和作业机器人纳入特种机器人重点发展方向；《“机器人+”应用行动实施方案》</w:t>
      </w:r>
      <w:r>
        <w:rPr>
          <w:rFonts w:ascii="Times New Roman" w:hAnsi="Times New Roman" w:eastAsia="宋体" w:cs="Times New Roman"/>
          <w:b w:val="0"/>
          <w:sz w:val="24"/>
          <w:vertAlign w:val="superscript"/>
        </w:rPr>
        <w:t>[2]</w:t>
      </w:r>
      <w:r>
        <w:rPr>
          <w:rFonts w:ascii="Times New Roman" w:hAnsi="Times New Roman" w:eastAsia="宋体" w:cs="Times New Roman"/>
          <w:b w:val="0"/>
          <w:sz w:val="24"/>
        </w:rPr>
        <w:t>提出在风电场、水电站、油气管网等能源基础设施场景推广巡检、维护等机器人应用。海上风电桩基、水下大坝立面及海底能源管线等设施在长期服役过程中，需要在近壁面、狭小空间及水流扰动等工况下开展定期巡检。相较于依赖潜水员或大型水下装备的作业方式，小型遥控水下航行器（ROV）部署更为灵活，适用于近距离精细巡检等任务。但在狭小空间和近壁水流扰动条件下，航行器还需兼顾稳定悬停、精确对位观测和低速灵活机动，对运动控制精度与稳定性提出了较高要求。</w:t>
      </w:r>
    </w:p>
    <w:p w14:paraId="5A77C9DB">
      <w:pPr>
        <w:pStyle w:val="10"/>
        <w:spacing w:before="0" w:beforeLines="0" w:after="0" w:afterLines="0" w:line="360" w:lineRule="auto"/>
        <w:ind w:firstLine="480" w:firstLineChars="200"/>
      </w:pPr>
      <w:r>
        <w:rPr>
          <w:rFonts w:ascii="Times New Roman" w:hAnsi="Times New Roman" w:eastAsia="宋体" w:cs="Times New Roman"/>
          <w:b w:val="0"/>
          <w:sz w:val="24"/>
        </w:rPr>
        <w:t>为满足上述近距离巡检中多方向运动、位姿调整与稳定悬停的需求，本课题考虑采用空间矢量布局的八推进器构型。该构型可通过推进器协同产生不同方向的合力与力矩，为航行器的六自由度运动控制提供执行机构基础。与此同时，多推进器配置也增加了动力学建模与控制分配的难度：在动力学层面，附加质量、水动力阻尼以及重心与浮心的相对位置等因素，会使航行器的平动与转动存在耦合关系</w:t>
      </w:r>
      <w:r>
        <w:rPr>
          <w:rFonts w:ascii="Times New Roman" w:hAnsi="Times New Roman" w:eastAsia="宋体" w:cs="Times New Roman"/>
          <w:b w:val="0"/>
          <w:sz w:val="24"/>
          <w:vertAlign w:val="superscript"/>
        </w:rPr>
        <w:t>[3]</w:t>
      </w:r>
      <w:r>
        <w:rPr>
          <w:rFonts w:ascii="Times New Roman" w:hAnsi="Times New Roman" w:eastAsia="宋体" w:cs="Times New Roman"/>
          <w:b w:val="0"/>
          <w:sz w:val="24"/>
        </w:rPr>
        <w:t>；在执行机构层面，推进器受尺寸与电机功率等条件限制，存在推力幅值上限，并可能受到响应滞后、正反转死区等非理想特性的影响。在近壁水流扰动条件下，若未能协调推进器输出并合理处理推力约束，可能出现推力饱和或控制误差增大，从而影响悬停稳定性与轨迹跟踪精度。</w:t>
      </w:r>
    </w:p>
    <w:p w14:paraId="5C6839AC">
      <w:pPr>
        <w:pStyle w:val="10"/>
        <w:spacing w:before="0" w:beforeLines="0" w:after="0" w:afterLines="0" w:line="360" w:lineRule="auto"/>
        <w:ind w:firstLine="480" w:firstLineChars="200"/>
      </w:pPr>
      <w:r>
        <w:rPr>
          <w:rFonts w:ascii="Times New Roman" w:hAnsi="Times New Roman" w:eastAsia="宋体" w:cs="Times New Roman"/>
          <w:b w:val="0"/>
          <w:sz w:val="24"/>
        </w:rPr>
        <w:t>对于多变量耦合及执行器受限的控制问题，常规比例—积分—微分（PID）控制结构简单、易于实现，但分通道PID控制若缺少耦合补偿及约束协调机制，可能难以同时兼顾多自由度控制精度与推进器推力限制。模型预测控制（MPC）基于系统动力学模型进行滚动优化，可在优化问题中显式纳入状态与推力约束，为多推进器受约束控制提供可行思路，但仍需兼顾模型精度与嵌入式计算的实时性。此外，控制算法的工程实现还需要相应的飞控软件与仿真验证环境。PX4作为开源飞控平台，已为部分水下航行器构型提供基本控制模式，但官方文档仍将其水下航行器支持列为实验性功能</w:t>
      </w:r>
      <w:r>
        <w:rPr>
          <w:rFonts w:ascii="Times New Roman" w:hAnsi="Times New Roman" w:eastAsia="宋体" w:cs="Times New Roman"/>
          <w:b w:val="0"/>
          <w:sz w:val="24"/>
          <w:vertAlign w:val="superscript"/>
        </w:rPr>
        <w:t>[4]</w:t>
      </w:r>
      <w:r>
        <w:rPr>
          <w:rFonts w:ascii="Times New Roman" w:hAnsi="Times New Roman" w:eastAsia="宋体" w:cs="Times New Roman"/>
          <w:b w:val="0"/>
          <w:sz w:val="24"/>
        </w:rPr>
        <w:t>。因此，面向具体航行器的动力学特性及推进器约束，在PX4相关环境中开展MPC算法的适配与验证具有研究价值。</w:t>
      </w:r>
    </w:p>
    <w:p w14:paraId="4100DB2C">
      <w:pPr>
        <w:pStyle w:val="9"/>
        <w:tabs>
          <w:tab w:val="left" w:pos="7083"/>
        </w:tabs>
        <w:spacing w:before="180" w:beforeLines="50" w:after="180" w:afterLines="50" w:line="360" w:lineRule="auto"/>
        <w:ind w:firstLine="0" w:firstLineChars="0"/>
        <w:rPr>
          <w:rFonts w:hint="eastAsia"/>
          <w:sz w:val="24"/>
        </w:rPr>
      </w:pPr>
      <w:r>
        <w:rPr>
          <w:rFonts w:ascii="Times New Roman" w:hAnsi="Times New Roman" w:eastAsia="黑体" w:cs="Times New Roman"/>
          <w:b/>
          <w:strike w:val="0"/>
          <w:sz w:val="24"/>
        </w:rPr>
        <w:t>2． 国内外在该方向的研究现状</w:t>
      </w:r>
      <w:r>
        <w:rPr>
          <w:rFonts w:hint="eastAsia" w:ascii="Times New Roman" w:hAnsi="Times New Roman" w:eastAsia="黑体" w:cs="Times New Roman"/>
          <w:b/>
          <w:strike w:val="0"/>
          <w:sz w:val="24"/>
        </w:rPr>
        <w:t>和发展趋势</w:t>
      </w:r>
    </w:p>
    <w:p w14:paraId="494C6F6A">
      <w:pPr>
        <w:pStyle w:val="10"/>
        <w:widowControl/>
        <w:spacing w:before="0" w:after="0" w:line="360" w:lineRule="auto"/>
        <w:ind w:firstLine="480" w:firstLineChars="200"/>
      </w:pPr>
      <w:r>
        <w:rPr>
          <w:rFonts w:ascii="Times New Roman" w:hAnsi="Times New Roman" w:eastAsia="宋体" w:cs="Times New Roman"/>
          <w:b w:val="0"/>
          <w:strike w:val="0"/>
          <w:color w:val="000000"/>
          <w:sz w:val="24"/>
          <w:u w:val="none"/>
        </w:rPr>
        <w:t>面向海上风电桩基、水下大坝立面及海底管线等基础设施的近距离巡检，水下航行器需要在狭小空间和水流扰动条件下完成定点悬停、轨迹跟踪与多自由度姿态调整。采用空间矢量布局的八推进器航行器能够通过推进器协同形成多方向合力和力矩，为六自由度主动控制提供执行机构基础，但也同时面临非线性水动力耦合、参数不确定、推力饱和及控制分配复杂等问题。围绕这些问题，国内外研究逐步形成由动力学建模与参数辨识、受约束运动控制与推力分配，到开源飞控集成和闭环验证相互衔接的技术路线。</w:t>
      </w:r>
    </w:p>
    <w:p w14:paraId="76702F0C">
      <w:pPr>
        <w:pStyle w:val="10"/>
        <w:spacing w:before="120" w:after="60" w:line="360" w:lineRule="auto"/>
        <w:ind w:firstLine="480" w:firstLineChars="200"/>
      </w:pPr>
      <w:r>
        <w:rPr>
          <w:rFonts w:ascii="Times New Roman" w:hAnsi="Times New Roman" w:eastAsia="黑体" w:cs="Times New Roman"/>
          <w:b/>
          <w:strike w:val="0"/>
          <w:color w:val="000000"/>
          <w:sz w:val="24"/>
          <w:u w:val="none"/>
        </w:rPr>
        <w:t>2.1 水下航行器动力学建模与参数辨识研究现状</w:t>
      </w:r>
    </w:p>
    <w:p w14:paraId="3FD02263">
      <w:pPr>
        <w:pStyle w:val="10"/>
        <w:widowControl/>
        <w:spacing w:before="0" w:after="0" w:line="360" w:lineRule="auto"/>
        <w:ind w:firstLine="480" w:firstLineChars="200"/>
      </w:pPr>
      <w:r>
        <w:rPr>
          <w:rFonts w:ascii="Times New Roman" w:hAnsi="Times New Roman" w:eastAsia="宋体" w:cs="Times New Roman"/>
          <w:b w:val="0"/>
          <w:strike w:val="0"/>
          <w:color w:val="000000"/>
          <w:sz w:val="24"/>
          <w:u w:val="none"/>
        </w:rPr>
        <w:t>动力学建模是运动预测和控制器设计的基础。Fossen[5]建立了海洋航行器六自由度非线性动力学的统一描述，将刚体惯性、附加质量、科里奥利与向心力、水动力阻尼以及浮重力恢复作用</w:t>
      </w:r>
      <w:bookmarkStart w:id="0" w:name="_GoBack"/>
      <w:bookmarkEnd w:id="0"/>
      <w:r>
        <w:rPr>
          <w:rFonts w:ascii="Times New Roman" w:hAnsi="Times New Roman" w:eastAsia="宋体" w:cs="Times New Roman"/>
          <w:b w:val="0"/>
          <w:strike w:val="0"/>
          <w:color w:val="000000"/>
          <w:sz w:val="24"/>
          <w:u w:val="none"/>
        </w:rPr>
        <w:t>纳入模型；严卫生等[6]系统总结了水下航行器动力学与运动控制理论。在具体对象建模方面，Prestero[7]构建并校验了REMUS自主水下航行器的六自由度仿真模型；Caccia等[8]针对开架式可变构型航行器研究了含推进器与艇体相互作用的集中参数模型及其辨识方法。Smallwood与Whitcomb[9]通过水下机器人动力定位实验说明了模型在低速精确控制中的作用。面向多推进器开架式平台，von Benzon等[10]构建了BlueROV2开源仿真基准，综合考虑水动力、推进器动态、浮重力、水流和系缆作用。上述研究表明，六自由度机理模型具有明确的物理含义，但不同构型的水动力特性及执行器响应差异显著，模型仍需结合具体平台进行参数确定和有效性检验。</w:t>
      </w:r>
    </w:p>
    <w:p w14:paraId="459F5968">
      <w:pPr>
        <w:pStyle w:val="10"/>
        <w:widowControl/>
        <w:spacing w:before="0" w:after="0" w:line="360" w:lineRule="auto"/>
        <w:ind w:firstLine="480" w:firstLineChars="200"/>
      </w:pPr>
      <w:r>
        <w:rPr>
          <w:rFonts w:ascii="Times New Roman" w:hAnsi="Times New Roman" w:eastAsia="宋体" w:cs="Times New Roman"/>
          <w:b w:val="0"/>
          <w:strike w:val="0"/>
          <w:color w:val="000000"/>
          <w:sz w:val="24"/>
          <w:u w:val="none"/>
        </w:rPr>
        <w:t>水动力参数获取主要依靠计算流体力学（CFD）、水池试验和运动数据辨识。高婷等[11]研究了水下航行器水动力系数的数值计算方法，可为阻尼等参数提供初始估计；Chin与Lau[12]针对复杂外形水下机器人开展低速阻尼建模与试验，Ross等[13]利用自由衰减试验辨识水动力系数，Avila与Adamowski[14]则研究了开架式航行器的试验模型辨识。Harris等[15]进一步提出将六自由度系统与执行器模型联系起来的自适应参数辨识方法。总体来看，CFD有利于分析流场与受力机理，但结果受网格、湍流模型及边界条件影响；试验辨识能反映对象实际响应，却依赖激励工况、测量质量及参数可辨识性。对于紧凑型八推进器航行器，既要识别附加质量、非线性阻尼等关键参数，也需结合推进器安装位置、推力方向及力臂建立推力至广义力的空间映射，并分析各自由度的可达性和推力饱和边界，才能形成可用于约束控制的模型。</w:t>
      </w:r>
    </w:p>
    <w:p w14:paraId="2C1BE6D3">
      <w:pPr>
        <w:pStyle w:val="10"/>
        <w:widowControl/>
        <w:spacing w:before="0" w:after="0" w:line="360" w:lineRule="auto"/>
        <w:ind w:firstLine="480" w:firstLineChars="200"/>
      </w:pPr>
      <w:r>
        <w:rPr>
          <w:rFonts w:ascii="Times New Roman" w:hAnsi="Times New Roman" w:eastAsia="宋体" w:cs="Times New Roman"/>
          <w:b w:val="0"/>
          <w:strike w:val="0"/>
          <w:color w:val="000000"/>
          <w:sz w:val="24"/>
          <w:u w:val="none"/>
        </w:rPr>
        <w:t>为补偿机理模型的简化误差，数据驱动与物理机理融合逐渐成为研究热点。Brunton等[16]提出稀疏非线性动力学辨识（SINDy），可从运动数据中提取具有显式表达的主导动力学项；Raissi等[17]提出物理信息神经网络（PINN），为利用物理方程约束数据学习和参数反演提供方法；Chen等[18]提出神经常微分方程（Neural ODE），能够用连续时间形式表征非线性状态演化。针对水下机器人，Liu等[19]将Koopman方法与仿真到现实迁移结合，研究水动力在线辨识。这些方法为复杂耦合项和未建模动态提供了新的表征途径，但其预测效果受到训练数据覆盖范围、测量噪声及在线计算开销的影响。与之相比，非线性机理模型可解释性较强，降阶解耦模型计算负担较轻，数据驱动模型则更具非线性拟合灵活性；不同模型不存在脱离任务场景的普遍最优选择。因此，面向MPC应用，应在统一的试验数据和独立工况下，对候选模型的多步递推预测误差、跨工况泛化稳定性及单步计算耗时进行综合比较，而不能仅依据单步拟合精度选型。</w:t>
      </w:r>
    </w:p>
    <w:p w14:paraId="524A54E1">
      <w:pPr>
        <w:pStyle w:val="10"/>
        <w:widowControl/>
        <w:spacing w:before="0" w:after="0" w:line="360" w:lineRule="auto"/>
        <w:ind w:firstLine="480" w:firstLineChars="200"/>
      </w:pPr>
      <w:r>
        <w:rPr>
          <w:rFonts w:ascii="Times New Roman" w:hAnsi="Times New Roman" w:eastAsia="宋体" w:cs="Times New Roman"/>
          <w:b w:val="0"/>
          <w:strike w:val="0"/>
          <w:color w:val="000000"/>
          <w:sz w:val="24"/>
          <w:u w:val="none"/>
        </w:rPr>
        <w:t>在运动控制方面，Yuh[20]及朱大奇、孙兵[21]对水下机器人控制方法作了系统梳理。传统比例—积分—微分（PID）控制结构简单、易于实现，适用于姿态稳定和深度保持等任务，但在多自由度耦合及执行器约束显著时，分通道控制可能出现动态协调不足。Yoerger与Slotine[22]研究了水下航行器鲁棒轨迹控制，Healey与Lienard[23]提出多变量滑模控制，以增强对动力学不确定性和外部扰动的抑制能力；Chu等[24]进一步将推进器动态和饱和约束引入遥控水下航行器的自适应轨迹跟踪研究。这类方法提升了复杂工况下的鲁棒性，但对推力上下限、变化率及多轴资源竞争的处理，通常仍需附加补偿或约束协调机制。</w:t>
      </w:r>
    </w:p>
    <w:p w14:paraId="6869A4CE">
      <w:pPr>
        <w:pStyle w:val="10"/>
        <w:widowControl/>
        <w:spacing w:before="0" w:after="0" w:line="360" w:lineRule="auto"/>
        <w:ind w:firstLine="480" w:firstLineChars="200"/>
      </w:pPr>
      <w:r>
        <w:rPr>
          <w:rFonts w:ascii="Times New Roman" w:hAnsi="Times New Roman" w:eastAsia="宋体" w:cs="Times New Roman"/>
          <w:b w:val="0"/>
          <w:strike w:val="0"/>
          <w:color w:val="000000"/>
          <w:sz w:val="24"/>
          <w:u w:val="none"/>
        </w:rPr>
        <w:t>模型预测控制（MPC）可利用动力学模型滚动预测未来运动状态，并在优化过程中同时考虑轨迹误差、控制平稳性以及状态和输入约束。张磊等[25]综述了自主水下航行器预测控制的研究进展；Heshmati-Alamdari等[26]将鲁棒MPC用于受限空间内的航行器运动控制，并在后续研究中进一步考虑不确定环境下的轨迹跟踪与扰动影响[27]。在线性MPC中，预测模型与优化问题相对简单，便于实时求解，但模型近似可能削弱大范围运动的预测精度；非线性MPC能够更完整地描述动力学耦合，却增加了数值优化负担。对于八推进器平台，预测控制不仅需处理六自由度轨迹跟踪，还要面对执行器推力幅值和变化率限制。因此，预测时域、模型复杂度、约束表达与求解周期之间的平衡，是将MPC从离线仿真应用到PX4控制链路时必须解决的问题。</w:t>
      </w:r>
    </w:p>
    <w:p w14:paraId="387D4CA4">
      <w:pPr>
        <w:pStyle w:val="10"/>
        <w:widowControl/>
        <w:spacing w:before="0" w:after="0" w:line="360" w:lineRule="auto"/>
        <w:ind w:firstLine="480" w:firstLineChars="200"/>
      </w:pPr>
      <w:r>
        <w:rPr>
          <w:rFonts w:ascii="Times New Roman" w:hAnsi="Times New Roman" w:eastAsia="宋体" w:cs="Times New Roman"/>
          <w:b w:val="0"/>
          <w:strike w:val="0"/>
          <w:color w:val="000000"/>
          <w:sz w:val="24"/>
          <w:u w:val="none"/>
        </w:rPr>
        <w:t>推进器控制分配是连接期望运动控制量与实际执行器输出的关键环节。冗余推进器使同一广义力可能对应多组推力解，传统矩阵逆或广义逆分配计算简便，但当推力指令超出可实现范围时容易产生饱和和分配残差。Johansen与Fossen[28]系统总结了控制分配理论，Bodson[29]比较了相关优化方法，Härkegård[30]研究了受约束二次分配问题的高效求解算法；程卫平等[31]针对水下机器人提出基于可行方向法的推力分配策略，孙功武等[32]研究了混合推进ROV的模糊逻辑多级分配方法，Li等[33]则探索了冗余推进器故障条件下的直接容错控制。现有研究表明，二次规划等优化分配方法可以显式纳入推力边界、执行器权重与广义力跟踪误差。工程上既可采用“上层MPC输出期望广义力、下层优化分配推力”的分层方式，也可将推进器推力直接纳入MPC决策变量实现一体化优化。前者模块化程度高、便于与既有飞控接口衔接，后者约束表达更直接但求解维度更高；两者均需关注分配残差对实际轨迹跟踪性能的影响。</w:t>
      </w:r>
    </w:p>
    <w:p w14:paraId="6195EC13">
      <w:pPr>
        <w:pStyle w:val="10"/>
        <w:keepLines/>
        <w:widowControl/>
        <w:spacing w:before="0" w:after="0" w:line="360" w:lineRule="auto"/>
        <w:ind w:firstLine="480" w:firstLineChars="200"/>
      </w:pPr>
      <w:r>
        <w:rPr>
          <w:rFonts w:ascii="Times New Roman" w:hAnsi="Times New Roman" w:eastAsia="宋体" w:cs="Times New Roman"/>
          <w:b w:val="0"/>
          <w:strike w:val="0"/>
          <w:color w:val="000000"/>
          <w:sz w:val="24"/>
          <w:u w:val="none"/>
        </w:rPr>
        <w:t>在软件实现层面，研究正在由单独验证控制律转向动力学、估计、控制和执行机构的系统集成。Meier等[34]提出的PX4开源嵌入式机器人框架具有模块化和多线程特征，平台通过uORB消息机制连接状态估计、运动控制和执行器管理，并设置Control Allocator模块完成期望推力、力矩到执行器指令的转换[35]。PX4官方已提供水下航行器（UUV）的基础支持，但相关功能仍标为实验性[4]。其BlueROV2 Heavy八推进器机型可使用Manual、Stabilized、Acro、Altitude和Position等模式，具备基础操纵、姿态稳定及位置保持能力[36]。不过，这些现成功能并不等于已提供针对特定八推进器平台的高精度动力学预测、完整推力约束优化和模型预测控制链路，仍需依据机型配置及数据接口开展适配。</w:t>
      </w:r>
    </w:p>
    <w:p w14:paraId="7E27A736">
      <w:pPr>
        <w:pStyle w:val="10"/>
        <w:widowControl/>
        <w:spacing w:before="0" w:after="0" w:line="360" w:lineRule="auto"/>
        <w:ind w:firstLine="480" w:firstLineChars="200"/>
      </w:pPr>
      <w:r>
        <w:rPr>
          <w:rFonts w:ascii="Times New Roman" w:hAnsi="Times New Roman" w:eastAsia="宋体" w:cs="Times New Roman"/>
          <w:b w:val="0"/>
          <w:strike w:val="0"/>
          <w:color w:val="000000"/>
          <w:sz w:val="24"/>
          <w:u w:val="none"/>
        </w:rPr>
        <w:t>对于MPC与PX4的结合，Offboard模式可通过MAVLink、ROS 2等机制与外部计算单元交换设定值和状态信息，为研究型控制器提供接入途径[37]；另一种思路是在飞控内部扩展控制模块，以减少外部通信依赖。结合现有平台特点，可归纳出两类值得比较的接口方案：一类由上层MPC生成位置、速度等运动参考，依托PX4原生姿态内环和执行器管理完成闭环控制；另一类由MPC直接计算多自由度期望广义力与力矩，再与控制分配及执行器输出链路衔接。前者便于复用已有飞控功能，但控制效果受内环动态与参考接口限制；后者更容易体现模型耦合和输入约束，却需要明确控制权划分、坐标系与指令量纲、分配接口及安全机制。两类方案的实际可行性应结合通信时延、状态更新频率、求解耗时和控制周期稳定性进行验证，而不宜只比较理想模型中的轨迹误差。</w:t>
      </w:r>
    </w:p>
    <w:p w14:paraId="6EC88057">
      <w:pPr>
        <w:pStyle w:val="10"/>
        <w:widowControl/>
        <w:spacing w:before="0" w:after="0" w:line="360" w:lineRule="auto"/>
        <w:ind w:firstLine="480" w:firstLineChars="200"/>
      </w:pPr>
      <w:r>
        <w:rPr>
          <w:rFonts w:ascii="Times New Roman" w:hAnsi="Times New Roman" w:eastAsia="宋体" w:cs="Times New Roman"/>
          <w:b w:val="0"/>
          <w:strike w:val="0"/>
          <w:color w:val="000000"/>
          <w:sz w:val="24"/>
          <w:u w:val="none"/>
        </w:rPr>
        <w:t>在验证方法上，研究路径已由MATLAB/Simulink等环境中的数值闭环仿真，逐步拓展至将飞控软件纳入闭环的软件在环仿真（SITL）。von Benzon等[10]构建的BlueROV2基准模型为水动力及推进器特性仿真提供了参考；PX4与Gazebo等物理仿真工具的接口能够进一步将传感器数据、飞控状态估计、控制指令与航行器运动响应连接起来。与纯数值仿真相比，SITL除检验控制精度外，还可暴露坐标转换、执行器映射、消息更新频率和运行时序等集成问题。针对近距离巡检工况，定点悬停、直线及曲线轨迹、外部水流扰动等测试应同时考察轨迹误差、姿态波动、推力饱和与分配残差，以及优化求解耗时和超周期情况；如具备水池试验条件，再对代表性工况进行实物验证，以评估仿真结论的适用范围。</w:t>
      </w:r>
    </w:p>
    <w:p w14:paraId="1E8BEDBB">
      <w:pPr>
        <w:pStyle w:val="10"/>
        <w:keepLines/>
        <w:widowControl/>
        <w:spacing w:before="0" w:after="0" w:line="360" w:lineRule="auto"/>
        <w:ind w:firstLine="480" w:firstLineChars="200"/>
      </w:pPr>
      <w:r>
        <w:rPr>
          <w:rFonts w:ascii="Times New Roman" w:hAnsi="Times New Roman" w:eastAsia="宋体" w:cs="Times New Roman"/>
          <w:b w:val="0"/>
          <w:strike w:val="0"/>
          <w:color w:val="000000"/>
          <w:sz w:val="24"/>
          <w:u w:val="none"/>
        </w:rPr>
        <w:t>综上，现有研究呈现出机理模型与数据驱动互补、运动控制与推力分配协同、算法仿真向PX4系统级验证延伸的发展趋势，但针对具体八推进器构型，模型多步预测能力与在线计算负担之间的权衡、约束控制目标与实际推力输出的一致性，以及不同PX4接入方式的实时性，仍需在统一对象和工况下加以论证。基于此，本课题拟以六自由度机理模型、降阶解耦模型和数据驱动模型的构建与比选为基础，结合试验数据辨识水动力参数，设计考虑推进器推力约束的轨迹跟踪MPC；随后对比两类PX4控制接口方案，并通过数值仿真和SITL开展分级验证，视条件补充水池试验，为八推进器水下航行器的模型控制与工程实现提供依据。</w:t>
      </w:r>
    </w:p>
    <w:permEnd w:id="10"/>
    <w:p w14:paraId="6385DA06">
      <w:pPr>
        <w:spacing w:before="120" w:beforeLines="50" w:after="120" w:afterLines="50" w:line="360" w:lineRule="auto"/>
        <w:ind w:firstLine="560" w:firstLineChars="0"/>
        <w:rPr>
          <w:rFonts w:hint="eastAsia" w:ascii="黑体" w:eastAsia="黑体"/>
          <w:sz w:val="28"/>
        </w:rPr>
      </w:pPr>
      <w:r>
        <w:rPr>
          <w:rFonts w:hint="eastAsia" w:ascii="Times New Roman" w:hAnsi="Times New Roman" w:eastAsia="黑体" w:cs="Times New Roman"/>
          <w:b w:val="0"/>
          <w:sz w:val="28"/>
        </w:rPr>
        <w:t>二、</w:t>
      </w:r>
      <w:permStart w:id="11" w:edGrp="everyone"/>
      <w:r>
        <w:rPr>
          <w:rFonts w:hint="eastAsia" w:ascii="Times New Roman" w:hAnsi="Times New Roman" w:eastAsia="黑体" w:cs="Times New Roman"/>
          <w:b w:val="0"/>
          <w:sz w:val="28"/>
        </w:rPr>
        <w:t>毕业论文</w:t>
      </w:r>
      <w:permEnd w:id="11"/>
      <w:r>
        <w:rPr>
          <w:rFonts w:hint="eastAsia" w:ascii="Times New Roman" w:hAnsi="Times New Roman" w:eastAsia="黑体" w:cs="Times New Roman"/>
          <w:b w:val="0"/>
          <w:sz w:val="28"/>
        </w:rPr>
        <w:t>方案介绍</w:t>
      </w:r>
    </w:p>
    <w:p w14:paraId="2109F3BF">
      <w:pPr>
        <w:pStyle w:val="9"/>
        <w:spacing w:before="120" w:beforeLines="50" w:after="120" w:afterLines="50" w:line="360" w:lineRule="auto"/>
        <w:ind w:firstLine="0" w:firstLineChars="0"/>
        <w:rPr>
          <w:rFonts w:ascii="黑体" w:hAnsi="黑体"/>
          <w:sz w:val="24"/>
        </w:rPr>
      </w:pPr>
      <w:permStart w:id="12" w:edGrp="everyone"/>
      <w:r>
        <w:rPr>
          <w:rFonts w:hint="eastAsia" w:ascii="Times New Roman" w:hAnsi="Times New Roman" w:eastAsia="黑体" w:cs="Times New Roman"/>
          <w:b w:val="0"/>
          <w:sz w:val="24"/>
        </w:rPr>
        <w:t>1</w:t>
      </w:r>
      <w:r>
        <w:rPr>
          <w:rFonts w:ascii="Times New Roman" w:hAnsi="Times New Roman" w:eastAsia="黑体" w:cs="Times New Roman"/>
          <w:b w:val="0"/>
          <w:sz w:val="24"/>
        </w:rPr>
        <w:t xml:space="preserve">． </w:t>
      </w:r>
      <w:r>
        <w:rPr>
          <w:rFonts w:hint="eastAsia" w:ascii="Times New Roman" w:hAnsi="Times New Roman" w:eastAsia="黑体" w:cs="Times New Roman"/>
          <w:b w:val="0"/>
          <w:sz w:val="24"/>
        </w:rPr>
        <w:t>主要研究内容</w:t>
      </w:r>
    </w:p>
    <w:p w14:paraId="1623E866">
      <w:pPr>
        <w:pStyle w:val="10"/>
        <w:spacing w:before="0" w:beforeLines="0" w:after="0" w:afterLines="0" w:line="360" w:lineRule="auto"/>
        <w:ind w:firstLine="480" w:firstLineChars="200"/>
      </w:pPr>
      <w:r>
        <w:rPr>
          <w:rFonts w:ascii="Times New Roman" w:hAnsi="Times New Roman" w:eastAsia="宋体" w:cs="Times New Roman"/>
          <w:b w:val="0"/>
          <w:sz w:val="24"/>
        </w:rPr>
        <w:t>（待后续阶段撰写）</w:t>
      </w:r>
    </w:p>
    <w:p w14:paraId="315FC749">
      <w:pPr>
        <w:pStyle w:val="9"/>
        <w:spacing w:before="120" w:beforeLines="50" w:after="120" w:afterLines="50" w:line="360" w:lineRule="auto"/>
        <w:ind w:firstLine="0" w:firstLineChars="0"/>
        <w:rPr>
          <w:rFonts w:ascii="黑体" w:hAnsi="黑体"/>
          <w:sz w:val="24"/>
        </w:rPr>
      </w:pPr>
      <w:r>
        <w:rPr>
          <w:rFonts w:hint="eastAsia" w:ascii="Times New Roman" w:hAnsi="Times New Roman" w:eastAsia="黑体" w:cs="Times New Roman"/>
          <w:b w:val="0"/>
          <w:sz w:val="24"/>
        </w:rPr>
        <w:t>2</w:t>
      </w:r>
      <w:r>
        <w:rPr>
          <w:rFonts w:ascii="Times New Roman" w:hAnsi="Times New Roman" w:eastAsia="黑体" w:cs="Times New Roman"/>
          <w:b w:val="0"/>
          <w:sz w:val="24"/>
        </w:rPr>
        <w:t xml:space="preserve">． </w:t>
      </w:r>
      <w:r>
        <w:rPr>
          <w:rFonts w:hint="eastAsia" w:ascii="Times New Roman" w:hAnsi="Times New Roman" w:eastAsia="黑体" w:cs="Times New Roman"/>
          <w:b w:val="0"/>
          <w:sz w:val="24"/>
        </w:rPr>
        <w:t>研究方案</w:t>
      </w:r>
    </w:p>
    <w:p w14:paraId="3A2A67D5">
      <w:pPr>
        <w:pStyle w:val="10"/>
        <w:spacing w:before="0" w:beforeLines="0" w:after="0" w:afterLines="0" w:line="360" w:lineRule="auto"/>
        <w:ind w:firstLine="480" w:firstLineChars="200"/>
      </w:pPr>
      <w:r>
        <w:rPr>
          <w:rFonts w:ascii="Times New Roman" w:hAnsi="Times New Roman" w:eastAsia="宋体" w:cs="Times New Roman"/>
          <w:b w:val="0"/>
          <w:sz w:val="24"/>
        </w:rPr>
        <w:t>（待后续阶段撰写）</w:t>
      </w:r>
    </w:p>
    <w:p w14:paraId="6D664144">
      <w:pPr>
        <w:pStyle w:val="9"/>
        <w:spacing w:before="120" w:beforeLines="50" w:after="120" w:afterLines="50" w:line="360" w:lineRule="auto"/>
        <w:ind w:firstLine="0" w:firstLineChars="0"/>
        <w:rPr>
          <w:rFonts w:hint="eastAsia" w:ascii="黑体" w:hAnsi="黑体"/>
          <w:sz w:val="24"/>
        </w:rPr>
      </w:pPr>
      <w:r>
        <w:rPr>
          <w:rFonts w:hint="eastAsia" w:ascii="Times New Roman" w:hAnsi="Times New Roman" w:eastAsia="黑体" w:cs="Times New Roman"/>
          <w:b w:val="0"/>
          <w:sz w:val="24"/>
        </w:rPr>
        <w:t>3</w:t>
      </w:r>
      <w:r>
        <w:rPr>
          <w:rFonts w:ascii="Times New Roman" w:hAnsi="Times New Roman" w:eastAsia="黑体" w:cs="Times New Roman"/>
          <w:b w:val="0"/>
          <w:sz w:val="24"/>
        </w:rPr>
        <w:t xml:space="preserve">． </w:t>
      </w:r>
      <w:r>
        <w:rPr>
          <w:rFonts w:hint="eastAsia" w:ascii="Times New Roman" w:hAnsi="Times New Roman" w:eastAsia="黑体" w:cs="Times New Roman"/>
          <w:b w:val="0"/>
          <w:sz w:val="24"/>
        </w:rPr>
        <w:t>工作</w:t>
      </w:r>
      <w:r>
        <w:rPr>
          <w:rFonts w:ascii="Times New Roman" w:hAnsi="Times New Roman" w:eastAsia="黑体" w:cs="Times New Roman"/>
          <w:b w:val="0"/>
          <w:sz w:val="24"/>
        </w:rPr>
        <w:t>进度安排</w:t>
      </w:r>
    </w:p>
    <w:p w14:paraId="6390AB4A">
      <w:pPr>
        <w:pStyle w:val="10"/>
        <w:spacing w:before="0" w:beforeLines="0" w:after="0" w:afterLines="0" w:line="360" w:lineRule="auto"/>
        <w:ind w:firstLine="480" w:firstLineChars="200"/>
      </w:pPr>
      <w:r>
        <w:rPr>
          <w:rFonts w:ascii="Times New Roman" w:hAnsi="Times New Roman" w:eastAsia="宋体" w:cs="Times New Roman"/>
          <w:b w:val="0"/>
          <w:sz w:val="24"/>
        </w:rPr>
        <w:t>（待后续阶段撰写）</w:t>
      </w:r>
    </w:p>
    <w:permEnd w:id="12"/>
    <w:p w14:paraId="41E5FE5D">
      <w:pPr>
        <w:spacing w:before="120" w:beforeLines="50" w:after="120" w:afterLines="50" w:line="360" w:lineRule="auto"/>
        <w:ind w:firstLine="560" w:firstLineChars="0"/>
        <w:rPr>
          <w:rFonts w:hint="eastAsia" w:ascii="黑体" w:eastAsia="黑体"/>
          <w:sz w:val="28"/>
        </w:rPr>
      </w:pPr>
      <w:r>
        <w:rPr>
          <w:rFonts w:hint="eastAsia" w:ascii="Times New Roman" w:hAnsi="Times New Roman" w:eastAsia="黑体" w:cs="Times New Roman"/>
          <w:b w:val="0"/>
          <w:sz w:val="28"/>
        </w:rPr>
        <w:t>三、</w:t>
      </w:r>
      <w:permStart w:id="13" w:edGrp="everyone"/>
      <w:r>
        <w:rPr>
          <w:rFonts w:hint="eastAsia" w:ascii="Times New Roman" w:hAnsi="Times New Roman" w:eastAsia="黑体" w:cs="Times New Roman"/>
          <w:b w:val="0"/>
          <w:sz w:val="28"/>
        </w:rPr>
        <w:t>毕业论文</w:t>
      </w:r>
      <w:permEnd w:id="13"/>
      <w:r>
        <w:rPr>
          <w:rFonts w:hint="eastAsia" w:ascii="Times New Roman" w:hAnsi="Times New Roman" w:eastAsia="黑体" w:cs="Times New Roman"/>
          <w:b w:val="0"/>
          <w:sz w:val="28"/>
        </w:rPr>
        <w:t>的主要参考文献</w:t>
      </w:r>
    </w:p>
    <w:p w14:paraId="2F5BFBEB">
      <w:pPr>
        <w:pStyle w:val="11"/>
        <w:spacing w:before="0" w:beforeLines="0" w:after="0" w:afterLines="0" w:line="360" w:lineRule="auto"/>
        <w:ind w:left="420" w:hanging="420"/>
        <w:rPr>
          <w:rFonts w:ascii="宋体" w:hAnsi="宋体"/>
        </w:rPr>
      </w:pPr>
      <w:permStart w:id="14" w:edGrp="everyone"/>
      <w:r>
        <w:rPr>
          <w:rFonts w:ascii="Times New Roman" w:hAnsi="Times New Roman" w:eastAsia="宋体" w:cs="Times New Roman"/>
          <w:b w:val="0"/>
          <w:sz w:val="24"/>
        </w:rPr>
        <w:t>[1] 工业和信息化部, 国家发展和改革委员会, 科学技术部, 等. “十四五”机器人产业发展规划[J]. 中华人民共和国工业和信息化部公报, 2021(12): 20-27.</w:t>
      </w:r>
    </w:p>
    <w:p w14:paraId="761C4D0F">
      <w:pPr>
        <w:pStyle w:val="11"/>
        <w:spacing w:before="0" w:beforeLines="0" w:after="0" w:afterLines="0" w:line="360" w:lineRule="auto"/>
        <w:ind w:left="420" w:hanging="420"/>
      </w:pPr>
      <w:r>
        <w:rPr>
          <w:rFonts w:ascii="Times New Roman" w:hAnsi="Times New Roman" w:eastAsia="宋体" w:cs="Times New Roman"/>
          <w:b w:val="0"/>
          <w:sz w:val="24"/>
        </w:rPr>
        <w:t>[2] 工业和信息化部, 教育部, 科学技术部, 等. “机器人+”应用行动实施方案[J]. 中华人民共和国工业和信息化部公报, 2023(1): 18-24.</w:t>
      </w:r>
    </w:p>
    <w:p w14:paraId="30B13CA2">
      <w:pPr>
        <w:pStyle w:val="11"/>
        <w:spacing w:before="0" w:beforeLines="0" w:after="0" w:afterLines="0" w:line="360" w:lineRule="auto"/>
        <w:ind w:left="420" w:hanging="420"/>
      </w:pPr>
      <w:r>
        <w:rPr>
          <w:rFonts w:ascii="Times New Roman" w:hAnsi="Times New Roman" w:eastAsia="宋体" w:cs="Times New Roman"/>
          <w:b w:val="0"/>
          <w:sz w:val="24"/>
        </w:rPr>
        <w:t>[3] FOSSEN T I. Handbook of Marine Craft Hydrodynamics and Motion Control[M]. 2nd ed. Chichester, UK: John Wiley &amp; Sons, 2021.</w:t>
      </w:r>
    </w:p>
    <w:p w14:paraId="135E749E">
      <w:pPr>
        <w:pStyle w:val="11"/>
        <w:spacing w:before="0" w:beforeLines="0" w:after="0" w:afterLines="0" w:line="360" w:lineRule="auto"/>
        <w:ind w:left="420" w:hanging="420"/>
      </w:pPr>
      <w:r>
        <w:rPr>
          <w:rFonts w:ascii="Times New Roman" w:hAnsi="Times New Roman" w:eastAsia="宋体" w:cs="Times New Roman"/>
          <w:b w:val="0"/>
          <w:sz w:val="24"/>
        </w:rPr>
        <w:t>[4] PX4 Development Team. Submarines (Unmanned Underwater Vehicles—UUV)[EB/OL]. (2024)[2026-10-10]. https://docs.px4.io/main/en/frames_sub/index.</w:t>
      </w:r>
    </w:p>
    <w:p w14:paraId="4753A116">
      <w:pPr>
        <w:pStyle w:val="11"/>
        <w:spacing w:before="0" w:beforeLines="0" w:after="0" w:afterLines="0" w:line="360" w:lineRule="auto"/>
        <w:ind w:left="420" w:hanging="420"/>
      </w:pPr>
      <w:r>
        <w:rPr>
          <w:rFonts w:ascii="Times New Roman" w:hAnsi="Times New Roman" w:eastAsia="宋体" w:cs="Times New Roman"/>
          <w:b w:val="0"/>
          <w:sz w:val="24"/>
        </w:rPr>
        <w:t>[5] FOSSEN T I. Nonlinear modelling of marine vehicles in 6 degrees of freedom[J]. Mathematical Modelling of Systems, 1995, 1(1): 17-27.</w:t>
      </w:r>
    </w:p>
    <w:p w14:paraId="015493A9">
      <w:pPr>
        <w:pStyle w:val="11"/>
        <w:spacing w:before="0" w:beforeLines="0" w:after="0" w:afterLines="0" w:line="360" w:lineRule="auto"/>
        <w:ind w:left="420" w:hanging="420"/>
      </w:pPr>
      <w:r>
        <w:rPr>
          <w:rFonts w:ascii="Times New Roman" w:hAnsi="Times New Roman" w:eastAsia="宋体" w:cs="Times New Roman"/>
          <w:b w:val="0"/>
          <w:sz w:val="24"/>
        </w:rPr>
        <w:t>[6] 严卫生, 高剑, 崔荣鑫, 等. 水下航行器控制技术[M]. 北京: 国防工业出版社, 2020.</w:t>
      </w:r>
    </w:p>
    <w:p w14:paraId="337973F4">
      <w:pPr>
        <w:pStyle w:val="11"/>
        <w:spacing w:before="0" w:beforeLines="0" w:after="0" w:afterLines="0" w:line="360" w:lineRule="auto"/>
        <w:ind w:left="420" w:hanging="420"/>
      </w:pPr>
      <w:r>
        <w:rPr>
          <w:rFonts w:ascii="Times New Roman" w:hAnsi="Times New Roman" w:eastAsia="宋体" w:cs="Times New Roman"/>
          <w:b w:val="0"/>
          <w:sz w:val="24"/>
        </w:rPr>
        <w:t>[7] PRESTERO T. Verification of a six-degree of freedom simulation model for the REMUS autonomous underwater vehicle[D]. Cambridge, MA: Massachusetts Institute of Technology, 2001.</w:t>
      </w:r>
    </w:p>
    <w:p w14:paraId="6944413E">
      <w:pPr>
        <w:pStyle w:val="11"/>
        <w:spacing w:before="0" w:beforeLines="0" w:after="0" w:afterLines="0" w:line="360" w:lineRule="auto"/>
        <w:ind w:left="420" w:hanging="420"/>
      </w:pPr>
      <w:r>
        <w:rPr>
          <w:rFonts w:ascii="Times New Roman" w:hAnsi="Times New Roman" w:eastAsia="宋体" w:cs="Times New Roman"/>
          <w:b w:val="0"/>
          <w:sz w:val="24"/>
        </w:rPr>
        <w:t>[8] CACCIA M, INDIVERI G, VERUGGIO G. Modeling and identification of open-frame variable configuration unmanned underwater vehicles[J]. IEEE Journal of Oceanic Engineering, 2000, 25(2): 227-240.</w:t>
      </w:r>
    </w:p>
    <w:p w14:paraId="75635D39">
      <w:pPr>
        <w:pStyle w:val="11"/>
        <w:spacing w:before="0" w:beforeLines="0" w:after="0" w:afterLines="0" w:line="360" w:lineRule="auto"/>
        <w:ind w:left="420" w:hanging="420"/>
      </w:pPr>
      <w:r>
        <w:rPr>
          <w:rFonts w:ascii="Times New Roman" w:hAnsi="Times New Roman" w:eastAsia="宋体" w:cs="Times New Roman"/>
          <w:b w:val="0"/>
          <w:sz w:val="24"/>
        </w:rPr>
        <w:t>[9] SMALLWOOD D A, WHITCOMB L L. Model-based dynamic positioning of underwater robotic vehicles: Theory and experiment[J]. IEEE Journal of Oceanic Engineering, 2004, 29(1): 169-186.</w:t>
      </w:r>
    </w:p>
    <w:p w14:paraId="5829B444">
      <w:pPr>
        <w:pStyle w:val="11"/>
        <w:spacing w:before="0" w:beforeLines="0" w:after="0" w:afterLines="0" w:line="360" w:lineRule="auto"/>
        <w:ind w:left="420" w:hanging="420"/>
      </w:pPr>
      <w:r>
        <w:rPr>
          <w:rFonts w:ascii="Times New Roman" w:hAnsi="Times New Roman" w:eastAsia="宋体" w:cs="Times New Roman"/>
          <w:b w:val="0"/>
          <w:sz w:val="24"/>
        </w:rPr>
        <w:t>[10] VON BENZON M, SØRENSEN F F, UTH E, et al. An open-source benchmark simulator: Control of a BlueROV2 underwater robot[J]. Journal of Marine Science and Engineering, 2022, 10(12): 1898.</w:t>
      </w:r>
    </w:p>
    <w:p w14:paraId="620C46B1">
      <w:pPr>
        <w:pStyle w:val="11"/>
        <w:spacing w:before="0" w:beforeLines="0" w:after="0" w:afterLines="0" w:line="360" w:lineRule="auto"/>
        <w:ind w:left="420" w:hanging="420"/>
      </w:pPr>
      <w:r>
        <w:rPr>
          <w:rFonts w:ascii="Times New Roman" w:hAnsi="Times New Roman" w:eastAsia="宋体" w:cs="Times New Roman"/>
          <w:b w:val="0"/>
          <w:sz w:val="24"/>
        </w:rPr>
        <w:t>[11] 高婷, 庞永杰, 王亚兴, 等. 水下航行器水动力系数计算方法[J]. 哈尔滨工程大学学报, 2019, 40(1): 174-180.</w:t>
      </w:r>
    </w:p>
    <w:p w14:paraId="4FA6E997">
      <w:pPr>
        <w:pStyle w:val="11"/>
        <w:spacing w:before="0" w:beforeLines="0" w:after="0" w:afterLines="0" w:line="360" w:lineRule="auto"/>
        <w:ind w:left="420" w:hanging="420"/>
      </w:pPr>
      <w:r>
        <w:rPr>
          <w:rFonts w:ascii="Times New Roman" w:hAnsi="Times New Roman" w:eastAsia="宋体" w:cs="Times New Roman"/>
          <w:b w:val="0"/>
          <w:sz w:val="24"/>
        </w:rPr>
        <w:t>[12] CHIN C S, LAU M W S. Modeling and testing of hydrodynamic damping for a complex-shaped underwater robot operating at low speed[C]//2012 Oceans - Yeosu. Yeosu, Korea: IEEE, 2012: 1-7.</w:t>
      </w:r>
    </w:p>
    <w:p w14:paraId="24749E0D">
      <w:pPr>
        <w:pStyle w:val="11"/>
        <w:spacing w:before="0" w:beforeLines="0" w:after="0" w:afterLines="0" w:line="360" w:lineRule="auto"/>
        <w:ind w:left="420" w:hanging="420"/>
      </w:pPr>
      <w:r>
        <w:rPr>
          <w:rFonts w:ascii="Times New Roman" w:hAnsi="Times New Roman" w:eastAsia="宋体" w:cs="Times New Roman"/>
          <w:b w:val="0"/>
          <w:sz w:val="24"/>
        </w:rPr>
        <w:t>[13] ROSS A, FOSSEN T I, JOHANSEN T A. Identification of underwater vehicle hydrodynamic coefficients using free decay tests[C]//IFAC Conference on Control Applications in Marine Systems. Ancona, Italy: IFAC, 2004: 363-368.</w:t>
      </w:r>
    </w:p>
    <w:p w14:paraId="456CDD6B">
      <w:pPr>
        <w:pStyle w:val="11"/>
        <w:spacing w:before="0" w:beforeLines="0" w:after="0" w:afterLines="0" w:line="360" w:lineRule="auto"/>
        <w:ind w:left="420" w:hanging="420"/>
      </w:pPr>
      <w:r>
        <w:rPr>
          <w:rFonts w:ascii="Times New Roman" w:hAnsi="Times New Roman" w:eastAsia="宋体" w:cs="Times New Roman"/>
          <w:b w:val="0"/>
          <w:sz w:val="24"/>
        </w:rPr>
        <w:t>[14] AVILA J P J, ADAMOWSKI J C. Experimental model identification of open-frame unmanned underwater vehicles[C]//2013 Oceans - San Diego. San Diego, CA: IEEE, 2013: 1-7.</w:t>
      </w:r>
    </w:p>
    <w:p w14:paraId="6549D34A">
      <w:pPr>
        <w:pStyle w:val="11"/>
        <w:spacing w:before="0" w:beforeLines="0" w:after="0" w:afterLines="0" w:line="360" w:lineRule="auto"/>
        <w:ind w:left="420" w:hanging="420"/>
      </w:pPr>
      <w:r>
        <w:rPr>
          <w:rFonts w:ascii="Times New Roman" w:hAnsi="Times New Roman" w:eastAsia="宋体" w:cs="Times New Roman"/>
          <w:b w:val="0"/>
          <w:sz w:val="24"/>
        </w:rPr>
        <w:t>[15] HARRIS Z J, MAO A M, PAINE T M, et al. Stable nullspace adaptive parameter identification of 6 degree-of-freedom plant and actuator models for underactuated vehicles: Theory and experimental evaluation[J]. The International Journal of Robotics Research, 2023, 42(12): 1070-1093.</w:t>
      </w:r>
    </w:p>
    <w:p w14:paraId="2CCCC2A2">
      <w:pPr>
        <w:pStyle w:val="11"/>
        <w:spacing w:before="0" w:beforeLines="0" w:after="0" w:afterLines="0" w:line="360" w:lineRule="auto"/>
        <w:ind w:left="420" w:hanging="420"/>
      </w:pPr>
      <w:r>
        <w:rPr>
          <w:rFonts w:ascii="Times New Roman" w:hAnsi="Times New Roman" w:eastAsia="宋体" w:cs="Times New Roman"/>
          <w:b w:val="0"/>
          <w:sz w:val="24"/>
        </w:rPr>
        <w:t>[16] BRUNTON S L, PROCTOR J L, KUTZ J N. Discovering governing equations from data by sparse identification of nonlinear dynamical systems[J]. Proceedings of the National Academy of Sciences, 2016, 113(15): 3932-3937.</w:t>
      </w:r>
    </w:p>
    <w:p w14:paraId="53856263">
      <w:pPr>
        <w:pStyle w:val="11"/>
        <w:spacing w:before="0" w:beforeLines="0" w:after="0" w:afterLines="0" w:line="360" w:lineRule="auto"/>
        <w:ind w:left="420" w:hanging="420"/>
      </w:pPr>
      <w:r>
        <w:rPr>
          <w:rFonts w:ascii="Times New Roman" w:hAnsi="Times New Roman" w:eastAsia="宋体" w:cs="Times New Roman"/>
          <w:b w:val="0"/>
          <w:sz w:val="24"/>
        </w:rPr>
        <w:t>[17] RAISSI M, PERDIKARIS P, KARNIADAKIS G E. Physics-informed neural networks: A deep learning framework for solving forward and inverse problems involving nonlinear partial differential equations[J]. Journal of Computational Physics, 2019, 378: 686-707.</w:t>
      </w:r>
    </w:p>
    <w:p w14:paraId="3270987F">
      <w:pPr>
        <w:pStyle w:val="11"/>
        <w:spacing w:before="0" w:beforeLines="0" w:after="0" w:afterLines="0" w:line="360" w:lineRule="auto"/>
        <w:ind w:left="420" w:hanging="420"/>
      </w:pPr>
      <w:r>
        <w:rPr>
          <w:rFonts w:ascii="Times New Roman" w:hAnsi="Times New Roman" w:eastAsia="宋体" w:cs="Times New Roman"/>
          <w:b w:val="0"/>
          <w:sz w:val="24"/>
        </w:rPr>
        <w:t>[18] CHEN R T Q, RUBANOVA Y, BETTENCOURT J, et al. Neural ordinary differential equations[C]//Advances in Neural Information Processing Systems (NeurIPS 2018). Montréal, QC, Canada, 2018: 6571-6583.</w:t>
      </w:r>
    </w:p>
    <w:p w14:paraId="62ED250A">
      <w:pPr>
        <w:pStyle w:val="11"/>
        <w:spacing w:before="0" w:beforeLines="0" w:after="0" w:afterLines="0" w:line="360" w:lineRule="auto"/>
        <w:ind w:left="420" w:hanging="420"/>
      </w:pPr>
      <w:r>
        <w:rPr>
          <w:rFonts w:ascii="Times New Roman" w:hAnsi="Times New Roman" w:eastAsia="宋体" w:cs="Times New Roman"/>
          <w:b w:val="0"/>
          <w:sz w:val="24"/>
        </w:rPr>
        <w:t>[19] LIU A, ZHANG X, XIAO F, et al. Koopman-based online identification with Sim2Real transfer for hydrodynamic modeling of turtle-inspired robot[J]. IEEE Robotics and Automation Letters, 2026, 11(6): 6632-6639.</w:t>
      </w:r>
    </w:p>
    <w:p w14:paraId="3376E46A">
      <w:pPr>
        <w:pStyle w:val="11"/>
        <w:spacing w:before="0" w:beforeLines="0" w:after="0" w:afterLines="0" w:line="360" w:lineRule="auto"/>
        <w:ind w:left="420" w:hanging="420"/>
      </w:pPr>
      <w:r>
        <w:rPr>
          <w:rFonts w:ascii="Times New Roman" w:hAnsi="Times New Roman" w:eastAsia="宋体" w:cs="Times New Roman"/>
          <w:b w:val="0"/>
          <w:sz w:val="24"/>
        </w:rPr>
        <w:t>[20] YUH J. Design and control of autonomous underwater robots: A survey[J]. Autonomous Robots, 2000, 8(1): 7-24.</w:t>
      </w:r>
    </w:p>
    <w:p w14:paraId="6E75F3AD">
      <w:pPr>
        <w:pStyle w:val="11"/>
        <w:spacing w:before="0" w:beforeLines="0" w:after="0" w:afterLines="0" w:line="360" w:lineRule="auto"/>
        <w:ind w:left="420" w:hanging="420"/>
      </w:pPr>
      <w:r>
        <w:rPr>
          <w:rFonts w:ascii="Times New Roman" w:hAnsi="Times New Roman" w:eastAsia="宋体" w:cs="Times New Roman"/>
          <w:b w:val="0"/>
          <w:sz w:val="24"/>
        </w:rPr>
        <w:t>[21] 朱大奇, 孙兵. 水下机器人运动控制研究进展[J]. 控制与决策, 2012, 27(3): 321-333.</w:t>
      </w:r>
    </w:p>
    <w:p w14:paraId="276CE4BE">
      <w:pPr>
        <w:pStyle w:val="11"/>
        <w:spacing w:before="0" w:beforeLines="0" w:after="0" w:afterLines="0" w:line="360" w:lineRule="auto"/>
        <w:ind w:left="420" w:hanging="420"/>
      </w:pPr>
      <w:r>
        <w:rPr>
          <w:rFonts w:ascii="Times New Roman" w:hAnsi="Times New Roman" w:eastAsia="宋体" w:cs="Times New Roman"/>
          <w:b w:val="0"/>
          <w:sz w:val="24"/>
        </w:rPr>
        <w:t>[22] YOERGER D R, SLOTINE J J E. Robust trajectory control of underwater vehicles[J]. IEEE Journal of Oceanic Engineering, 1985, 10(4): 462-470.</w:t>
      </w:r>
    </w:p>
    <w:p w14:paraId="6D54E73A">
      <w:pPr>
        <w:pStyle w:val="11"/>
        <w:spacing w:before="0" w:beforeLines="0" w:after="0" w:afterLines="0" w:line="360" w:lineRule="auto"/>
        <w:ind w:left="420" w:hanging="420"/>
      </w:pPr>
      <w:r>
        <w:rPr>
          <w:rFonts w:ascii="Times New Roman" w:hAnsi="Times New Roman" w:eastAsia="宋体" w:cs="Times New Roman"/>
          <w:b w:val="0"/>
          <w:sz w:val="24"/>
        </w:rPr>
        <w:t>[23] HEALEY A J, LIENARD D. Multivariable sliding mode control for autonomous diving and steering of unmanned underwater vehicles[J]. IEEE Journal of Oceanic Engineering, 1993, 18(3): 327-339.</w:t>
      </w:r>
    </w:p>
    <w:p w14:paraId="3655EAA4">
      <w:pPr>
        <w:pStyle w:val="11"/>
        <w:spacing w:before="0" w:beforeLines="0" w:after="0" w:afterLines="0" w:line="360" w:lineRule="auto"/>
        <w:ind w:left="420" w:hanging="420"/>
      </w:pPr>
      <w:r>
        <w:rPr>
          <w:rFonts w:ascii="Times New Roman" w:hAnsi="Times New Roman" w:eastAsia="宋体" w:cs="Times New Roman"/>
          <w:b w:val="0"/>
          <w:sz w:val="24"/>
        </w:rPr>
        <w:t>[24] CHU Z, XIANG X, ZHU D, et al. Adaptive trajectory tracking control for remotely operated vehicles considering thruster dynamics and saturation constraints[J]. ISA Transactions, 2020, 100: 28-37.</w:t>
      </w:r>
    </w:p>
    <w:p w14:paraId="24960342">
      <w:pPr>
        <w:pStyle w:val="11"/>
        <w:spacing w:before="0" w:beforeLines="0" w:after="0" w:afterLines="0" w:line="360" w:lineRule="auto"/>
        <w:ind w:left="420" w:hanging="420"/>
      </w:pPr>
      <w:r>
        <w:rPr>
          <w:rFonts w:ascii="Times New Roman" w:hAnsi="Times New Roman" w:eastAsia="宋体" w:cs="Times New Roman"/>
          <w:b w:val="0"/>
          <w:sz w:val="24"/>
        </w:rPr>
        <w:t>[25] 张磊, 严卫生, 付明玉. 自主水下航行器模型预测控制研究现状与展望[J]. 控制理论与应用, 2018, 35(9): 1181-1192.</w:t>
      </w:r>
    </w:p>
    <w:p w14:paraId="47D4E3CD">
      <w:pPr>
        <w:pStyle w:val="11"/>
        <w:spacing w:before="0" w:beforeLines="0" w:after="0" w:afterLines="0" w:line="360" w:lineRule="auto"/>
        <w:ind w:left="420" w:hanging="420"/>
      </w:pPr>
      <w:r>
        <w:rPr>
          <w:rFonts w:ascii="Times New Roman" w:hAnsi="Times New Roman" w:eastAsia="宋体" w:cs="Times New Roman"/>
          <w:b w:val="0"/>
          <w:sz w:val="24"/>
        </w:rPr>
        <w:t>[26] HESHMATI-ALAMDARI S, KARRAS G C, MARANTOS P, et al. A robust model predictive control approach for autonomous underwater vehicles operating in a constrained workspace[C]//2018 IEEE International Conference on Robotics and Automation (ICRA). Brisbane, QLD, Australia: IEEE, 2018: 6183-6188.</w:t>
      </w:r>
    </w:p>
    <w:p w14:paraId="15393384">
      <w:pPr>
        <w:pStyle w:val="11"/>
        <w:spacing w:before="0" w:beforeLines="0" w:after="0" w:afterLines="0" w:line="360" w:lineRule="auto"/>
        <w:ind w:left="420" w:hanging="420"/>
      </w:pPr>
      <w:r>
        <w:rPr>
          <w:rFonts w:ascii="Times New Roman" w:hAnsi="Times New Roman" w:eastAsia="宋体" w:cs="Times New Roman"/>
          <w:b w:val="0"/>
          <w:sz w:val="24"/>
        </w:rPr>
        <w:t>[27] HESHMATI-ALAMDARI S, NIKOU A, DIMAROGONAS D V. Robust trajectory tracking control for underactuated autonomous underwater vehicles in uncertain environments[J]. IEEE Transactions on Automation Science and Engineering, 2020, 18(3): 1288-1301.</w:t>
      </w:r>
    </w:p>
    <w:p w14:paraId="0A7D7319">
      <w:pPr>
        <w:pStyle w:val="11"/>
        <w:spacing w:before="0" w:beforeLines="0" w:after="0" w:afterLines="0" w:line="360" w:lineRule="auto"/>
        <w:ind w:left="420" w:hanging="420"/>
      </w:pPr>
      <w:r>
        <w:rPr>
          <w:rFonts w:ascii="Times New Roman" w:hAnsi="Times New Roman" w:eastAsia="宋体" w:cs="Times New Roman"/>
          <w:b w:val="0"/>
          <w:sz w:val="24"/>
        </w:rPr>
        <w:t>[28] JOHANSEN T A, FOSSEN T I. Control allocation: A survey[J]. Automatica, 2013, 49(5): 1087-1103.</w:t>
      </w:r>
    </w:p>
    <w:p w14:paraId="5649C321">
      <w:pPr>
        <w:pStyle w:val="11"/>
        <w:spacing w:before="0" w:beforeLines="0" w:after="0" w:afterLines="0" w:line="360" w:lineRule="auto"/>
        <w:ind w:left="420" w:hanging="420"/>
      </w:pPr>
      <w:r>
        <w:rPr>
          <w:rFonts w:ascii="Times New Roman" w:hAnsi="Times New Roman" w:eastAsia="宋体" w:cs="Times New Roman"/>
          <w:b w:val="0"/>
          <w:sz w:val="24"/>
        </w:rPr>
        <w:t>[29] BODSON M. Evaluation of optimization methods for control allocation[J]. Journal of Guidance, Control, and Dynamics, 2002, 25(4): 703-711.</w:t>
      </w:r>
    </w:p>
    <w:p w14:paraId="21479EA2">
      <w:pPr>
        <w:pStyle w:val="11"/>
        <w:spacing w:before="0" w:beforeLines="0" w:after="0" w:afterLines="0" w:line="360" w:lineRule="auto"/>
        <w:ind w:left="420" w:hanging="420"/>
      </w:pPr>
      <w:r>
        <w:rPr>
          <w:rFonts w:ascii="Times New Roman" w:hAnsi="Times New Roman" w:eastAsia="宋体" w:cs="Times New Roman"/>
          <w:b w:val="0"/>
          <w:sz w:val="24"/>
        </w:rPr>
        <w:t>[30] HÄRKEGÅRD O. Efficient active set algorithms for solving constrained linear quadratic control allocation problems[J]. Journal of Guidance, Control, and Dynamics, 2002, 25(5): 827-835.</w:t>
      </w:r>
    </w:p>
    <w:p w14:paraId="5339E3CE">
      <w:pPr>
        <w:pStyle w:val="11"/>
        <w:spacing w:before="0" w:beforeLines="0" w:after="0" w:afterLines="0" w:line="360" w:lineRule="auto"/>
        <w:ind w:left="420" w:hanging="420"/>
      </w:pPr>
      <w:r>
        <w:rPr>
          <w:rFonts w:ascii="Times New Roman" w:hAnsi="Times New Roman" w:eastAsia="宋体" w:cs="Times New Roman"/>
          <w:b w:val="0"/>
          <w:sz w:val="24"/>
        </w:rPr>
        <w:t>[31] 程卫平, 王猛, 曾现敏, 等. 基于可行方向法的水下机器人推力分配[J]. 舰船科学技术, 2022, 44(13): 102-106.</w:t>
      </w:r>
    </w:p>
    <w:p w14:paraId="6F2853DC">
      <w:pPr>
        <w:pStyle w:val="11"/>
        <w:spacing w:before="0" w:beforeLines="0" w:after="0" w:afterLines="0" w:line="360" w:lineRule="auto"/>
        <w:ind w:left="420" w:hanging="420"/>
      </w:pPr>
      <w:r>
        <w:rPr>
          <w:rFonts w:ascii="Times New Roman" w:hAnsi="Times New Roman" w:eastAsia="宋体" w:cs="Times New Roman"/>
          <w:b w:val="0"/>
          <w:sz w:val="24"/>
        </w:rPr>
        <w:t>[32] 孙功武, 苏义鑫, 毛英, 等. 基于模糊逻辑的混合推进ROV多级推力分配策略[J]. 机器人, 2023, 45(4): 472-482.</w:t>
      </w:r>
    </w:p>
    <w:p w14:paraId="3E91DB56">
      <w:pPr>
        <w:pStyle w:val="11"/>
        <w:spacing w:before="0" w:beforeLines="0" w:after="0" w:afterLines="0" w:line="360" w:lineRule="auto"/>
        <w:ind w:left="420" w:hanging="420"/>
      </w:pPr>
      <w:r>
        <w:rPr>
          <w:rFonts w:ascii="Times New Roman" w:hAnsi="Times New Roman" w:eastAsia="宋体" w:cs="Times New Roman"/>
          <w:b w:val="0"/>
          <w:sz w:val="24"/>
        </w:rPr>
        <w:t>[33] LI J H, LEE M J, KIM M G, et al. MCE-based direct FTC method for dynamic positioning of underwater vehicles with thruster redundancy[C]//2025 IEEE/RSJ International Conference on Intelligent Robots and Systems (IROS). Hangzhou, China: IEEE, 2025: 1542-1549. DOI: 10.1109/IROS60139.2025.11246250.</w:t>
      </w:r>
    </w:p>
    <w:p w14:paraId="781733FF">
      <w:pPr>
        <w:pStyle w:val="11"/>
        <w:spacing w:before="0" w:beforeLines="0" w:after="0" w:afterLines="0" w:line="360" w:lineRule="auto"/>
        <w:ind w:left="420" w:hanging="420"/>
      </w:pPr>
      <w:r>
        <w:rPr>
          <w:rFonts w:ascii="Times New Roman" w:hAnsi="Times New Roman" w:eastAsia="宋体" w:cs="Times New Roman"/>
          <w:b w:val="0"/>
          <w:sz w:val="24"/>
        </w:rPr>
        <w:t>[34] MEIER L, HONEGGER D, POLLEFEYS M. PX4: A node-based multithreaded open source robotics framework for deeply embedded platforms[C]//2015 IEEE International Conference on Robotics and Automation (ICRA). Seattle, WA, USA: IEEE, 2015: 6235-6240.</w:t>
      </w:r>
    </w:p>
    <w:p w14:paraId="7C2CA3D5">
      <w:pPr>
        <w:pStyle w:val="11"/>
        <w:spacing w:before="0" w:beforeLines="0" w:after="0" w:afterLines="0" w:line="360" w:lineRule="auto"/>
        <w:ind w:left="420" w:hanging="420"/>
      </w:pPr>
      <w:r>
        <w:rPr>
          <w:rFonts w:ascii="Times New Roman" w:hAnsi="Times New Roman" w:eastAsia="宋体" w:cs="Times New Roman"/>
          <w:b w:val="0"/>
          <w:sz w:val="24"/>
        </w:rPr>
        <w:t>[35] PX4 Development Team. Control Allocation (Mixing)[EB/OL]. [2026-10-10]. https://docs.px4.io/main/en/concept/control_allocation.</w:t>
      </w:r>
    </w:p>
    <w:p w14:paraId="3294D216">
      <w:pPr>
        <w:pStyle w:val="11"/>
        <w:spacing w:before="0" w:beforeLines="0" w:after="0" w:afterLines="0" w:line="360" w:lineRule="auto"/>
        <w:ind w:left="420" w:hanging="420"/>
      </w:pPr>
      <w:r>
        <w:rPr>
          <w:rFonts w:ascii="Times New Roman" w:hAnsi="Times New Roman" w:eastAsia="宋体" w:cs="Times New Roman"/>
          <w:b w:val="0"/>
          <w:sz w:val="24"/>
        </w:rPr>
        <w:t>[36] PX4 Development Team. BlueROV2 (UUV)[EB/OL]. [2026-10-10]. https://docs.px4.io/main/en/frames_sub/bluerov2.</w:t>
      </w:r>
    </w:p>
    <w:p w14:paraId="435049E7">
      <w:pPr>
        <w:pStyle w:val="11"/>
        <w:spacing w:before="0" w:beforeLines="0" w:after="0" w:afterLines="0" w:line="360" w:lineRule="auto"/>
        <w:ind w:left="420" w:hanging="420"/>
      </w:pPr>
      <w:r>
        <w:rPr>
          <w:rFonts w:ascii="Times New Roman" w:hAnsi="Times New Roman" w:eastAsia="宋体" w:cs="Times New Roman"/>
          <w:b w:val="0"/>
          <w:sz w:val="24"/>
        </w:rPr>
        <w:t>[37] PX4 Development Team. Offboard Mode (Generic/All Frames)[EB/OL]. [2026-10-10]. https://docs.px4.io/main/en/flight_modes/offboard.</w:t>
      </w:r>
    </w:p>
    <w:permEnd w:id="14"/>
    <w:p w14:paraId="2CA8248D">
      <w:pPr>
        <w:pageBreakBefore/>
        <w:spacing w:before="120" w:beforeLines="50" w:after="120" w:afterLines="50" w:line="360" w:lineRule="auto"/>
        <w:ind w:firstLine="560" w:firstLineChars="0"/>
        <w:rPr>
          <w:rFonts w:hint="eastAsia" w:ascii="黑体" w:eastAsia="黑体"/>
          <w:sz w:val="28"/>
        </w:rPr>
      </w:pPr>
      <w:r>
        <w:rPr>
          <w:rFonts w:hint="eastAsia" w:ascii="Times New Roman" w:hAnsi="Times New Roman" w:eastAsia="黑体" w:cs="Times New Roman"/>
          <w:b w:val="0"/>
          <w:sz w:val="28"/>
        </w:rPr>
        <w:t>四、审核意见</w:t>
      </w:r>
    </w:p>
    <w:tbl>
      <w:tblPr>
        <w:tblStyle w:val="5"/>
        <w:tblW w:w="850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0"/>
      </w:tblGrid>
      <w:tr w14:paraId="3A9BF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8" w:hRule="atLeast"/>
        </w:trPr>
        <w:tc>
          <w:tcPr>
            <w:tcW w:w="8500" w:type="dxa"/>
            <w:vAlign w:val="bottom"/>
          </w:tcPr>
          <w:p w14:paraId="498EEE18">
            <w:pPr>
              <w:spacing w:line="360" w:lineRule="exact"/>
              <w:ind w:firstLine="480"/>
              <w:rPr>
                <w:rFonts w:hint="eastAsia" w:ascii="宋体" w:hAnsi="宋体"/>
                <w:szCs w:val="21"/>
              </w:rPr>
            </w:pPr>
            <w:r>
              <w:rPr>
                <w:rFonts w:ascii="黑体" w:hAnsi="宋体" w:eastAsia="黑体"/>
                <w:szCs w:val="24"/>
              </w:rPr>
              <w:t>指导教师意见：</w:t>
            </w:r>
            <w:permStart w:id="15" w:edGrp="everyone"/>
          </w:p>
          <w:p w14:paraId="0B50E364">
            <w:pPr>
              <w:spacing w:line="360" w:lineRule="exact"/>
              <w:ind w:firstLine="480"/>
              <w:rPr>
                <w:rFonts w:hint="eastAsia" w:ascii="宋体" w:hAnsi="宋体"/>
                <w:color w:val="ADADAD"/>
                <w:szCs w:val="24"/>
              </w:rPr>
            </w:pPr>
            <w:r>
              <w:rPr>
                <w:rFonts w:ascii="宋体" w:hAnsi="宋体"/>
                <w:color w:val="ADADAD"/>
                <w:szCs w:val="24"/>
              </w:rPr>
              <w:t>（课题难度是否适中、工作量是否饱满、进度安排是否合理、工作条件是否具备、是否同意开题等）</w:t>
            </w:r>
          </w:p>
          <w:p w14:paraId="3930308C">
            <w:pPr>
              <w:pStyle w:val="10"/>
              <w:ind w:firstLine="480"/>
              <w:rPr>
                <w:rFonts w:hint="eastAsia"/>
              </w:rPr>
            </w:pPr>
          </w:p>
          <w:p w14:paraId="08C32DB3">
            <w:pPr>
              <w:pStyle w:val="10"/>
              <w:ind w:firstLine="480"/>
              <w:rPr>
                <w:rFonts w:hint="eastAsia"/>
              </w:rPr>
            </w:pPr>
          </w:p>
          <w:p w14:paraId="42BCE067">
            <w:pPr>
              <w:pStyle w:val="10"/>
              <w:ind w:firstLine="480"/>
              <w:rPr>
                <w:rFonts w:hint="eastAsia"/>
              </w:rPr>
            </w:pPr>
          </w:p>
          <w:p w14:paraId="62F9A7FB">
            <w:pPr>
              <w:pStyle w:val="10"/>
              <w:ind w:firstLine="480"/>
              <w:rPr>
                <w:rFonts w:hint="eastAsia"/>
              </w:rPr>
            </w:pPr>
          </w:p>
          <w:p w14:paraId="1EAE3CD9">
            <w:pPr>
              <w:pStyle w:val="10"/>
              <w:ind w:firstLine="480"/>
              <w:rPr>
                <w:rFonts w:hint="eastAsia"/>
              </w:rPr>
            </w:pPr>
          </w:p>
          <w:p w14:paraId="1D61238E">
            <w:pPr>
              <w:pStyle w:val="10"/>
              <w:ind w:firstLine="480"/>
              <w:rPr>
                <w:rFonts w:hint="eastAsia"/>
              </w:rPr>
            </w:pPr>
          </w:p>
          <w:p w14:paraId="329DC671">
            <w:pPr>
              <w:pStyle w:val="10"/>
              <w:ind w:firstLine="480"/>
              <w:rPr>
                <w:rFonts w:hint="eastAsia"/>
              </w:rPr>
            </w:pPr>
          </w:p>
          <w:permEnd w:id="15"/>
          <w:p w14:paraId="69D2BE4E">
            <w:pPr>
              <w:ind w:firstLine="5520" w:firstLineChars="2300"/>
              <w:rPr>
                <w:rFonts w:hint="eastAsia" w:ascii="黑体" w:hAnsi="宋体" w:eastAsia="黑体"/>
                <w:szCs w:val="24"/>
              </w:rPr>
            </w:pPr>
            <w:r>
              <w:rPr>
                <w:rFonts w:hint="eastAsia" w:ascii="黑体" w:hAnsi="宋体" w:eastAsia="黑体"/>
                <w:szCs w:val="24"/>
              </w:rPr>
              <w:t>指导教师签名</w:t>
            </w:r>
            <w:r>
              <w:rPr>
                <w:rFonts w:hint="eastAsia" w:ascii="黑体" w:hAnsi="宋体" w:eastAsia="黑体"/>
                <w:szCs w:val="24"/>
                <w:u w:val="single"/>
              </w:rPr>
              <w:t xml:space="preserve">   </w:t>
            </w:r>
            <w:permStart w:id="16" w:edGrp="everyone"/>
            <w:r>
              <w:rPr>
                <w:rFonts w:hint="eastAsia" w:ascii="黑体" w:hAnsi="宋体" w:eastAsia="黑体"/>
                <w:szCs w:val="24"/>
                <w:u w:val="single"/>
              </w:rPr>
              <w:t xml:space="preserve">  </w:t>
            </w:r>
            <w:permEnd w:id="16"/>
            <w:r>
              <w:rPr>
                <w:rFonts w:hint="eastAsia" w:ascii="黑体" w:hAnsi="宋体" w:eastAsia="黑体"/>
                <w:szCs w:val="24"/>
                <w:u w:val="single"/>
              </w:rPr>
              <w:t xml:space="preserve">  </w:t>
            </w:r>
          </w:p>
          <w:p w14:paraId="54DBADB2">
            <w:pPr>
              <w:ind w:firstLine="480"/>
              <w:jc w:val="center"/>
              <w:rPr>
                <w:rFonts w:hint="eastAsia" w:ascii="黑体" w:hAnsi="宋体" w:eastAsia="黑体"/>
                <w:szCs w:val="24"/>
              </w:rPr>
            </w:pPr>
            <w:r>
              <w:rPr>
                <w:rFonts w:hint="eastAsia" w:ascii="宋体" w:hAnsi="宋体"/>
                <w:szCs w:val="24"/>
              </w:rPr>
              <w:t xml:space="preserve">                                        </w:t>
            </w:r>
            <w:r>
              <w:rPr>
                <w:rFonts w:hint="eastAsia" w:ascii="宋体" w:hAnsi="宋体"/>
                <w:szCs w:val="24"/>
                <w:u w:val="single"/>
              </w:rPr>
              <w:t xml:space="preserve"> </w:t>
            </w:r>
            <w:permStart w:id="17" w:edGrp="everyone"/>
            <w:r>
              <w:rPr>
                <w:rFonts w:hint="eastAsia" w:ascii="宋体" w:hAnsi="宋体"/>
                <w:szCs w:val="24"/>
                <w:u w:val="single"/>
              </w:rPr>
              <w:t xml:space="preserve"> </w:t>
            </w:r>
            <w:permEnd w:id="17"/>
            <w:r>
              <w:rPr>
                <w:rFonts w:hint="eastAsia" w:ascii="宋体" w:hAnsi="宋体"/>
                <w:szCs w:val="24"/>
                <w:u w:val="single"/>
              </w:rPr>
              <w:t xml:space="preserve"> </w:t>
            </w:r>
            <w:r>
              <w:rPr>
                <w:rFonts w:hint="eastAsia" w:ascii="黑体" w:hAnsi="宋体" w:eastAsia="黑体"/>
                <w:szCs w:val="24"/>
              </w:rPr>
              <w:t>年</w:t>
            </w:r>
            <w:r>
              <w:rPr>
                <w:rFonts w:hint="eastAsia" w:ascii="宋体" w:hAnsi="宋体"/>
                <w:szCs w:val="24"/>
                <w:u w:val="single"/>
              </w:rPr>
              <w:t xml:space="preserve"> </w:t>
            </w:r>
            <w:permStart w:id="18" w:edGrp="everyone"/>
            <w:r>
              <w:rPr>
                <w:rFonts w:hint="eastAsia" w:ascii="宋体" w:hAnsi="宋体"/>
                <w:szCs w:val="24"/>
                <w:u w:val="single"/>
              </w:rPr>
              <w:t xml:space="preserve"> </w:t>
            </w:r>
            <w:permEnd w:id="18"/>
            <w:r>
              <w:rPr>
                <w:rFonts w:hint="eastAsia" w:ascii="宋体" w:hAnsi="宋体"/>
                <w:szCs w:val="24"/>
                <w:u w:val="single"/>
              </w:rPr>
              <w:t xml:space="preserve"> </w:t>
            </w:r>
            <w:r>
              <w:rPr>
                <w:rFonts w:hint="eastAsia" w:ascii="黑体" w:hAnsi="宋体" w:eastAsia="黑体"/>
                <w:szCs w:val="24"/>
              </w:rPr>
              <w:t>月</w:t>
            </w:r>
            <w:r>
              <w:rPr>
                <w:rFonts w:hint="eastAsia" w:ascii="宋体" w:hAnsi="宋体"/>
                <w:szCs w:val="24"/>
                <w:u w:val="single"/>
              </w:rPr>
              <w:t xml:space="preserve"> </w:t>
            </w:r>
            <w:permStart w:id="19" w:edGrp="everyone"/>
            <w:r>
              <w:rPr>
                <w:rFonts w:hint="eastAsia" w:ascii="宋体" w:hAnsi="宋体"/>
                <w:szCs w:val="24"/>
                <w:u w:val="single"/>
              </w:rPr>
              <w:t xml:space="preserve"> </w:t>
            </w:r>
            <w:permEnd w:id="19"/>
            <w:r>
              <w:rPr>
                <w:rFonts w:hint="eastAsia" w:ascii="宋体" w:hAnsi="宋体"/>
                <w:szCs w:val="24"/>
                <w:u w:val="single"/>
              </w:rPr>
              <w:t xml:space="preserve"> </w:t>
            </w:r>
            <w:r>
              <w:rPr>
                <w:rFonts w:hint="eastAsia" w:ascii="黑体" w:hAnsi="宋体" w:eastAsia="黑体"/>
                <w:szCs w:val="24"/>
              </w:rPr>
              <w:t>日</w:t>
            </w:r>
          </w:p>
          <w:p w14:paraId="0AA36D12">
            <w:pPr>
              <w:ind w:firstLine="560"/>
              <w:jc w:val="center"/>
              <w:rPr>
                <w:rFonts w:hint="eastAsia" w:ascii="宋体" w:hAnsi="宋体"/>
                <w:sz w:val="28"/>
              </w:rPr>
            </w:pPr>
          </w:p>
        </w:tc>
      </w:tr>
      <w:tr w14:paraId="4FEE1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5" w:hRule="atLeast"/>
        </w:trPr>
        <w:tc>
          <w:tcPr>
            <w:tcW w:w="8500" w:type="dxa"/>
            <w:vAlign w:val="bottom"/>
          </w:tcPr>
          <w:p w14:paraId="0BA4A45F">
            <w:pPr>
              <w:ind w:firstLine="480"/>
              <w:rPr>
                <w:rFonts w:hint="eastAsia" w:ascii="黑体" w:hAnsi="楷体" w:eastAsia="黑体"/>
                <w:szCs w:val="24"/>
              </w:rPr>
            </w:pPr>
            <w:r>
              <w:rPr>
                <w:rFonts w:hint="eastAsia" w:ascii="黑体" w:hAnsi="楷体" w:eastAsia="黑体"/>
                <w:szCs w:val="24"/>
              </w:rPr>
              <w:t>专业审核意见：</w:t>
            </w:r>
          </w:p>
          <w:p w14:paraId="464295D2">
            <w:pPr>
              <w:spacing w:line="360" w:lineRule="auto"/>
              <w:ind w:firstLine="480"/>
              <w:rPr>
                <w:rFonts w:hint="eastAsia" w:ascii="宋体" w:hAnsi="宋体"/>
                <w:color w:val="ADADAD"/>
                <w:szCs w:val="24"/>
              </w:rPr>
            </w:pPr>
            <w:permStart w:id="20" w:edGrp="everyone"/>
            <w:r>
              <w:rPr>
                <w:rFonts w:hint="eastAsia" w:hAnsi="宋体"/>
                <w:color w:val="ADADAD"/>
                <w:szCs w:val="24"/>
              </w:rPr>
              <w:t>（适当对各项内容给与意见和评价，字数不限。）</w:t>
            </w:r>
          </w:p>
          <w:p w14:paraId="037A73CE">
            <w:pPr>
              <w:pStyle w:val="10"/>
              <w:ind w:firstLine="480"/>
              <w:rPr>
                <w:rFonts w:hint="eastAsia"/>
              </w:rPr>
            </w:pPr>
          </w:p>
          <w:p w14:paraId="0BB96980">
            <w:pPr>
              <w:pStyle w:val="10"/>
              <w:ind w:firstLine="480"/>
              <w:rPr>
                <w:rFonts w:hint="eastAsia"/>
              </w:rPr>
            </w:pPr>
          </w:p>
          <w:p w14:paraId="631107CC">
            <w:pPr>
              <w:pStyle w:val="10"/>
              <w:ind w:firstLine="480"/>
              <w:rPr>
                <w:rFonts w:hint="eastAsia"/>
              </w:rPr>
            </w:pPr>
          </w:p>
          <w:p w14:paraId="1F651512">
            <w:pPr>
              <w:pStyle w:val="10"/>
              <w:ind w:firstLine="480"/>
              <w:rPr>
                <w:rFonts w:hint="eastAsia"/>
              </w:rPr>
            </w:pPr>
          </w:p>
          <w:p w14:paraId="03E625F7">
            <w:pPr>
              <w:pStyle w:val="10"/>
              <w:ind w:firstLine="480"/>
              <w:rPr>
                <w:rFonts w:hint="eastAsia"/>
              </w:rPr>
            </w:pPr>
          </w:p>
          <w:permEnd w:id="20"/>
          <w:p w14:paraId="2F4B20B7">
            <w:pPr>
              <w:ind w:firstLine="5760" w:firstLineChars="2400"/>
              <w:rPr>
                <w:rFonts w:hint="eastAsia" w:ascii="黑体" w:hAnsi="宋体" w:eastAsia="黑体"/>
                <w:szCs w:val="24"/>
              </w:rPr>
            </w:pPr>
            <w:r>
              <w:rPr>
                <w:rFonts w:hint="eastAsia" w:ascii="黑体" w:hAnsi="宋体" w:eastAsia="黑体"/>
                <w:szCs w:val="24"/>
              </w:rPr>
              <w:t>负责人签名</w:t>
            </w:r>
            <w:r>
              <w:rPr>
                <w:rFonts w:hint="eastAsia" w:ascii="黑体" w:hAnsi="宋体" w:eastAsia="黑体"/>
                <w:szCs w:val="24"/>
                <w:u w:val="single"/>
              </w:rPr>
              <w:t xml:space="preserve">  </w:t>
            </w:r>
            <w:permStart w:id="21" w:edGrp="everyone"/>
            <w:r>
              <w:rPr>
                <w:rFonts w:hint="eastAsia" w:ascii="黑体" w:hAnsi="宋体" w:eastAsia="黑体"/>
                <w:szCs w:val="24"/>
                <w:u w:val="single"/>
              </w:rPr>
              <w:t xml:space="preserve">  </w:t>
            </w:r>
            <w:permEnd w:id="21"/>
            <w:r>
              <w:rPr>
                <w:rFonts w:hint="eastAsia" w:ascii="黑体" w:hAnsi="宋体" w:eastAsia="黑体"/>
                <w:szCs w:val="24"/>
                <w:u w:val="single"/>
              </w:rPr>
              <w:t xml:space="preserve">  </w:t>
            </w:r>
          </w:p>
          <w:p w14:paraId="7032D7DB">
            <w:pPr>
              <w:ind w:firstLine="480"/>
              <w:jc w:val="center"/>
              <w:rPr>
                <w:rFonts w:hint="eastAsia" w:ascii="楷体" w:hAnsi="楷体" w:eastAsia="楷体"/>
                <w:szCs w:val="24"/>
              </w:rPr>
            </w:pPr>
            <w:r>
              <w:rPr>
                <w:rFonts w:hint="eastAsia" w:ascii="宋体" w:hAnsi="宋体"/>
                <w:szCs w:val="24"/>
              </w:rPr>
              <w:t xml:space="preserve">                                          </w:t>
            </w:r>
            <w:r>
              <w:rPr>
                <w:rFonts w:hint="eastAsia" w:ascii="宋体" w:hAnsi="宋体"/>
                <w:szCs w:val="24"/>
                <w:u w:val="single"/>
              </w:rPr>
              <w:t xml:space="preserve"> </w:t>
            </w:r>
            <w:permStart w:id="22" w:edGrp="everyone"/>
            <w:r>
              <w:rPr>
                <w:rFonts w:hint="eastAsia" w:ascii="宋体" w:hAnsi="宋体"/>
                <w:szCs w:val="24"/>
                <w:u w:val="single"/>
              </w:rPr>
              <w:t xml:space="preserve"> </w:t>
            </w:r>
            <w:permEnd w:id="22"/>
            <w:r>
              <w:rPr>
                <w:rFonts w:hint="eastAsia" w:ascii="宋体" w:hAnsi="宋体"/>
                <w:szCs w:val="24"/>
                <w:u w:val="single"/>
              </w:rPr>
              <w:t xml:space="preserve"> </w:t>
            </w:r>
            <w:r>
              <w:rPr>
                <w:rFonts w:hint="eastAsia" w:ascii="黑体" w:hAnsi="宋体" w:eastAsia="黑体"/>
                <w:szCs w:val="24"/>
              </w:rPr>
              <w:t>年</w:t>
            </w:r>
            <w:r>
              <w:rPr>
                <w:rFonts w:hint="eastAsia" w:ascii="宋体" w:hAnsi="宋体"/>
                <w:szCs w:val="24"/>
                <w:u w:val="single"/>
              </w:rPr>
              <w:t xml:space="preserve"> </w:t>
            </w:r>
            <w:permStart w:id="23" w:edGrp="everyone"/>
            <w:r>
              <w:rPr>
                <w:rFonts w:hint="eastAsia" w:ascii="宋体" w:hAnsi="宋体"/>
                <w:szCs w:val="24"/>
                <w:u w:val="single"/>
              </w:rPr>
              <w:t xml:space="preserve"> </w:t>
            </w:r>
            <w:permEnd w:id="23"/>
            <w:r>
              <w:rPr>
                <w:rFonts w:hint="eastAsia" w:ascii="宋体" w:hAnsi="宋体"/>
                <w:szCs w:val="24"/>
                <w:u w:val="single"/>
              </w:rPr>
              <w:t xml:space="preserve"> </w:t>
            </w:r>
            <w:r>
              <w:rPr>
                <w:rFonts w:hint="eastAsia" w:ascii="黑体" w:hAnsi="宋体" w:eastAsia="黑体"/>
                <w:szCs w:val="24"/>
              </w:rPr>
              <w:t>月</w:t>
            </w:r>
            <w:r>
              <w:rPr>
                <w:rFonts w:hint="eastAsia" w:ascii="宋体" w:hAnsi="宋体"/>
                <w:szCs w:val="24"/>
                <w:u w:val="single"/>
              </w:rPr>
              <w:t xml:space="preserve"> </w:t>
            </w:r>
            <w:permStart w:id="24" w:edGrp="everyone"/>
            <w:r>
              <w:rPr>
                <w:rFonts w:hint="eastAsia" w:ascii="宋体" w:hAnsi="宋体"/>
                <w:szCs w:val="24"/>
                <w:u w:val="single"/>
              </w:rPr>
              <w:t xml:space="preserve"> </w:t>
            </w:r>
            <w:permEnd w:id="24"/>
            <w:r>
              <w:rPr>
                <w:rFonts w:hint="eastAsia" w:ascii="宋体" w:hAnsi="宋体"/>
                <w:szCs w:val="24"/>
                <w:u w:val="single"/>
              </w:rPr>
              <w:t xml:space="preserve"> </w:t>
            </w:r>
            <w:r>
              <w:rPr>
                <w:rFonts w:hint="eastAsia" w:ascii="黑体" w:hAnsi="宋体" w:eastAsia="黑体"/>
                <w:szCs w:val="24"/>
              </w:rPr>
              <w:t>日</w:t>
            </w:r>
          </w:p>
          <w:p w14:paraId="698FE26B">
            <w:pPr>
              <w:ind w:firstLine="480"/>
              <w:jc w:val="center"/>
              <w:rPr>
                <w:rFonts w:hint="eastAsia" w:ascii="楷体" w:hAnsi="楷体" w:eastAsia="楷体"/>
              </w:rPr>
            </w:pPr>
          </w:p>
        </w:tc>
      </w:tr>
    </w:tbl>
    <w:p w14:paraId="7C2C33EF">
      <w:pPr>
        <w:ind w:firstLine="560"/>
        <w:jc w:val="left"/>
        <w:rPr>
          <w:rFonts w:hint="eastAsia" w:ascii="宋体" w:hAnsi="宋体"/>
          <w:sz w:val="28"/>
        </w:rPr>
      </w:pPr>
    </w:p>
    <w:p w14:paraId="46D16151">
      <w:pPr>
        <w:ind w:firstLine="480"/>
        <w:jc w:val="left"/>
        <w:rPr>
          <w:rFonts w:hint="eastAsia" w:ascii="宋体" w:hAnsi="宋体"/>
        </w:rPr>
      </w:pPr>
    </w:p>
    <w:sectPr>
      <w:pgSz w:w="11907" w:h="16840"/>
      <w:pgMar w:top="1304" w:right="1797" w:bottom="567" w:left="1797" w:header="720" w:footer="720" w:gutter="0"/>
      <w:cols w:space="425" w:num="1"/>
      <w:docGrid w:linePitch="27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dit="readOnly" w:formatting="1" w:enforcement="0"/>
  <w:defaultTabStop w:val="425"/>
  <w:drawingGridHorizontalSpacing w:val="100"/>
  <w:drawingGridVerticalSpacing w:val="271"/>
  <w:displayHorizontalDrawingGridEvery w:val="2"/>
  <w:characterSpacingControl w:val="compressPunctuation"/>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A21022"/>
    <w:rsid w:val="000651DE"/>
    <w:rsid w:val="00080E79"/>
    <w:rsid w:val="0008585D"/>
    <w:rsid w:val="00085923"/>
    <w:rsid w:val="000925E3"/>
    <w:rsid w:val="000B4F99"/>
    <w:rsid w:val="000F31AE"/>
    <w:rsid w:val="00117889"/>
    <w:rsid w:val="00120525"/>
    <w:rsid w:val="00130112"/>
    <w:rsid w:val="00137786"/>
    <w:rsid w:val="001B5BCF"/>
    <w:rsid w:val="001C756F"/>
    <w:rsid w:val="00210A67"/>
    <w:rsid w:val="00214248"/>
    <w:rsid w:val="00217F24"/>
    <w:rsid w:val="00241C7A"/>
    <w:rsid w:val="00287FBB"/>
    <w:rsid w:val="002D4B04"/>
    <w:rsid w:val="002E0484"/>
    <w:rsid w:val="002E2206"/>
    <w:rsid w:val="002E30E8"/>
    <w:rsid w:val="002F323F"/>
    <w:rsid w:val="003043C7"/>
    <w:rsid w:val="00334DA9"/>
    <w:rsid w:val="003750D2"/>
    <w:rsid w:val="00376167"/>
    <w:rsid w:val="003C56B6"/>
    <w:rsid w:val="0042402F"/>
    <w:rsid w:val="00437105"/>
    <w:rsid w:val="004377B6"/>
    <w:rsid w:val="00444EA1"/>
    <w:rsid w:val="004652AE"/>
    <w:rsid w:val="00470EA2"/>
    <w:rsid w:val="004C4082"/>
    <w:rsid w:val="004E6B31"/>
    <w:rsid w:val="005069F4"/>
    <w:rsid w:val="00526A4A"/>
    <w:rsid w:val="00536562"/>
    <w:rsid w:val="00595F24"/>
    <w:rsid w:val="005A1E6B"/>
    <w:rsid w:val="005A3AC1"/>
    <w:rsid w:val="005F5E45"/>
    <w:rsid w:val="006072A1"/>
    <w:rsid w:val="00612E7C"/>
    <w:rsid w:val="00613335"/>
    <w:rsid w:val="006248BE"/>
    <w:rsid w:val="006323E4"/>
    <w:rsid w:val="00641C40"/>
    <w:rsid w:val="00650A3E"/>
    <w:rsid w:val="00675E5F"/>
    <w:rsid w:val="00676ECD"/>
    <w:rsid w:val="006A462B"/>
    <w:rsid w:val="006C543B"/>
    <w:rsid w:val="006D3359"/>
    <w:rsid w:val="00713785"/>
    <w:rsid w:val="00756254"/>
    <w:rsid w:val="007778D0"/>
    <w:rsid w:val="00784DCC"/>
    <w:rsid w:val="007A1F7D"/>
    <w:rsid w:val="007E0AD0"/>
    <w:rsid w:val="007E24ED"/>
    <w:rsid w:val="008046CF"/>
    <w:rsid w:val="00807B2D"/>
    <w:rsid w:val="00832D41"/>
    <w:rsid w:val="00857EAE"/>
    <w:rsid w:val="008C10CC"/>
    <w:rsid w:val="008C1668"/>
    <w:rsid w:val="008D5770"/>
    <w:rsid w:val="008D6CE9"/>
    <w:rsid w:val="008E2049"/>
    <w:rsid w:val="008F5532"/>
    <w:rsid w:val="00901CBB"/>
    <w:rsid w:val="00914070"/>
    <w:rsid w:val="009672BC"/>
    <w:rsid w:val="009B3A33"/>
    <w:rsid w:val="009D1392"/>
    <w:rsid w:val="00A21022"/>
    <w:rsid w:val="00A6161B"/>
    <w:rsid w:val="00AC1881"/>
    <w:rsid w:val="00B20101"/>
    <w:rsid w:val="00B53FED"/>
    <w:rsid w:val="00B63A0C"/>
    <w:rsid w:val="00B750B8"/>
    <w:rsid w:val="00BA2DE5"/>
    <w:rsid w:val="00BB4B8B"/>
    <w:rsid w:val="00BB7EEA"/>
    <w:rsid w:val="00BC507A"/>
    <w:rsid w:val="00BD42B3"/>
    <w:rsid w:val="00BE6DCD"/>
    <w:rsid w:val="00C0575A"/>
    <w:rsid w:val="00C36A7B"/>
    <w:rsid w:val="00C45F8C"/>
    <w:rsid w:val="00C560EC"/>
    <w:rsid w:val="00C83DC4"/>
    <w:rsid w:val="00C97E53"/>
    <w:rsid w:val="00CA5F20"/>
    <w:rsid w:val="00CB3579"/>
    <w:rsid w:val="00D17148"/>
    <w:rsid w:val="00D375B9"/>
    <w:rsid w:val="00D37BFC"/>
    <w:rsid w:val="00D65133"/>
    <w:rsid w:val="00D7319E"/>
    <w:rsid w:val="00D82E2B"/>
    <w:rsid w:val="00DD6F0C"/>
    <w:rsid w:val="00E10282"/>
    <w:rsid w:val="00E40B46"/>
    <w:rsid w:val="00EB10F8"/>
    <w:rsid w:val="00EC5C30"/>
    <w:rsid w:val="00ED0925"/>
    <w:rsid w:val="00EE1E2D"/>
    <w:rsid w:val="00F55D6C"/>
    <w:rsid w:val="00F62FB2"/>
    <w:rsid w:val="00F71C2A"/>
    <w:rsid w:val="00FF7FEA"/>
    <w:rsid w:val="1132344C"/>
    <w:rsid w:val="6B805CF5"/>
    <w:rsid w:val="7E502E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Balloon Text"/>
    <w:basedOn w:val="1"/>
    <w:semiHidden/>
    <w:qFormat/>
    <w:uiPriority w:val="0"/>
    <w:rPr>
      <w:sz w:val="18"/>
      <w:szCs w:val="18"/>
    </w:rPr>
  </w:style>
  <w:style w:type="paragraph" w:styleId="3">
    <w:name w:val="footer"/>
    <w:basedOn w:val="1"/>
    <w:link w:val="8"/>
    <w:uiPriority w:val="0"/>
    <w:pPr>
      <w:tabs>
        <w:tab w:val="center" w:pos="4153"/>
        <w:tab w:val="right" w:pos="8306"/>
      </w:tabs>
      <w:snapToGrid w:val="0"/>
      <w:jc w:val="left"/>
    </w:pPr>
    <w:rPr>
      <w:sz w:val="18"/>
      <w:szCs w:val="18"/>
    </w:rPr>
  </w:style>
  <w:style w:type="paragraph" w:styleId="4">
    <w:name w:val="header"/>
    <w:basedOn w:val="1"/>
    <w:link w:val="7"/>
    <w:qFormat/>
    <w:uiPriority w:val="0"/>
    <w:pPr>
      <w:pBdr>
        <w:bottom w:val="single" w:color="auto" w:sz="6" w:space="1"/>
      </w:pBdr>
      <w:tabs>
        <w:tab w:val="center" w:pos="4153"/>
        <w:tab w:val="right" w:pos="8306"/>
      </w:tabs>
      <w:snapToGrid w:val="0"/>
      <w:jc w:val="center"/>
    </w:pPr>
    <w:rPr>
      <w:sz w:val="18"/>
      <w:szCs w:val="18"/>
    </w:rPr>
  </w:style>
  <w:style w:type="character" w:customStyle="1" w:styleId="7">
    <w:name w:val="页眉 Char"/>
    <w:link w:val="4"/>
    <w:qFormat/>
    <w:uiPriority w:val="0"/>
    <w:rPr>
      <w:kern w:val="2"/>
      <w:sz w:val="18"/>
      <w:szCs w:val="18"/>
    </w:rPr>
  </w:style>
  <w:style w:type="character" w:customStyle="1" w:styleId="8">
    <w:name w:val="页脚 Char"/>
    <w:link w:val="3"/>
    <w:qFormat/>
    <w:uiPriority w:val="0"/>
    <w:rPr>
      <w:kern w:val="2"/>
      <w:sz w:val="18"/>
      <w:szCs w:val="18"/>
    </w:rPr>
  </w:style>
  <w:style w:type="paragraph" w:customStyle="1" w:styleId="9">
    <w:name w:val="条"/>
    <w:basedOn w:val="1"/>
    <w:qFormat/>
    <w:uiPriority w:val="0"/>
    <w:pPr>
      <w:snapToGrid w:val="0"/>
      <w:spacing w:before="50" w:beforeLines="50" w:after="50" w:afterLines="50" w:line="300" w:lineRule="auto"/>
    </w:pPr>
    <w:rPr>
      <w:rFonts w:eastAsia="黑体"/>
      <w:sz w:val="28"/>
      <w:szCs w:val="24"/>
    </w:rPr>
  </w:style>
  <w:style w:type="paragraph" w:customStyle="1" w:styleId="10">
    <w:name w:val="正文格式"/>
    <w:basedOn w:val="1"/>
    <w:link w:val="12"/>
    <w:qFormat/>
    <w:uiPriority w:val="0"/>
    <w:pPr>
      <w:spacing w:line="360" w:lineRule="auto"/>
      <w:ind w:firstLine="200" w:firstLineChars="200"/>
    </w:pPr>
    <w:rPr>
      <w:szCs w:val="24"/>
    </w:rPr>
  </w:style>
  <w:style w:type="paragraph" w:customStyle="1" w:styleId="11">
    <w:name w:val="参考文献"/>
    <w:basedOn w:val="1"/>
    <w:link w:val="13"/>
    <w:qFormat/>
    <w:uiPriority w:val="0"/>
    <w:pPr>
      <w:spacing w:line="360" w:lineRule="auto"/>
      <w:ind w:left="420" w:hanging="420"/>
      <w:textAlignment w:val="baseline"/>
    </w:pPr>
    <w:rPr>
      <w:rFonts w:cs="楷体_GB2312"/>
      <w:szCs w:val="24"/>
    </w:rPr>
  </w:style>
  <w:style w:type="character" w:customStyle="1" w:styleId="12">
    <w:name w:val="正文格式 字符"/>
    <w:link w:val="10"/>
    <w:qFormat/>
    <w:uiPriority w:val="0"/>
    <w:rPr>
      <w:kern w:val="2"/>
      <w:sz w:val="24"/>
      <w:szCs w:val="24"/>
    </w:rPr>
  </w:style>
  <w:style w:type="character" w:customStyle="1" w:styleId="13">
    <w:name w:val="参考文献 字符"/>
    <w:link w:val="11"/>
    <w:uiPriority w:val="0"/>
    <w:rPr>
      <w:rFonts w:cs="楷体_GB2312"/>
      <w:kern w:val="2"/>
      <w:sz w:val="24"/>
      <w:szCs w:val="24"/>
    </w:rPr>
  </w:style>
  <w:style w:type="paragraph" w:customStyle="1" w:styleId="14">
    <w:name w:val="Revision"/>
    <w:hidden/>
    <w:semiHidden/>
    <w:qFormat/>
    <w:uiPriority w:val="99"/>
    <w:rPr>
      <w:rFonts w:ascii="Times New Roman" w:hAnsi="Times New Roman" w:eastAsia="宋体" w:cs="Times New Roman"/>
      <w:kern w:val="2"/>
      <w:sz w:val="24"/>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Tongji University</Company>
  <Pages>10</Pages>
  <Words>5715</Words>
  <Characters>10382</Characters>
  <Lines>82</Lines>
  <Paragraphs>45</Paragraphs>
  <TotalTime>0</TotalTime>
  <ScaleCrop>false</ScaleCrop>
  <LinksUpToDate>false</LinksUpToDate>
  <CharactersWithSpaces>11284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2026-09-23T01:24:00Z</dcterms:created>
  <dc:creator>JW112</dc:creator>
  <cp:lastModifiedBy>张卫恒</cp:lastModifiedBy>
  <cp:lastPrinted>2026-05-08T02:40:00Z</cp:lastPrinted>
  <dcterms:modified xsi:type="dcterms:W3CDTF">2026-10-10T20:24:37Z</dcterms:modified>
  <dc:title>附录1</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eyJoZGlkIjoiODQ2ZDc5NWZlNjc1N2YxMjNkYmZlOWYyNzcyODc0ZDgiLCJ1c2VySWQiOiIxNjEyNDcyMTYzIn0=</vt:lpwstr>
  </property>
  <property fmtid="{D5CDD505-2E9C-101B-9397-08002B2CF9AE}" pid="3" name="KSOProductBuildVer">
    <vt:lpwstr>2052-12.1.0.28043</vt:lpwstr>
  </property>
  <property fmtid="{D5CDD505-2E9C-101B-9397-08002B2CF9AE}" pid="4" name="ICV">
    <vt:lpwstr>974D0B8056AD4BE78BEEB6D17871E013_12</vt:lpwstr>
  </property>
</Properties>
</file>