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BBBF4C" w14:textId="77777777" w:rsidR="00117889" w:rsidRDefault="00BB7EEA">
      <w:pPr>
        <w:ind w:firstLine="480"/>
        <w:rPr>
          <w:rFonts w:hint="eastAsia"/>
        </w:rPr>
      </w:pPr>
      <w:r>
        <w:rPr>
          <w:rFonts w:hint="eastAsia"/>
        </w:rPr>
        <w:t xml:space="preserve"> </w:t>
      </w:r>
    </w:p>
    <w:p w14:paraId="13A69A28" w14:textId="77777777" w:rsidR="00120525" w:rsidRDefault="00120525">
      <w:pPr>
        <w:ind w:firstLine="480"/>
        <w:rPr>
          <w:rFonts w:hint="eastAsia"/>
        </w:rPr>
      </w:pPr>
    </w:p>
    <w:p w14:paraId="7974B84F" w14:textId="77777777" w:rsidR="00BC507A" w:rsidRDefault="00BC507A">
      <w:pPr>
        <w:ind w:firstLine="480"/>
      </w:pPr>
    </w:p>
    <w:p w14:paraId="0DCFAF5B" w14:textId="77777777" w:rsidR="00117889" w:rsidRDefault="00444EA1">
      <w:pPr>
        <w:ind w:firstLine="480"/>
        <w:rPr>
          <w:rFonts w:hint="eastAsia"/>
        </w:rPr>
      </w:pPr>
      <w:r>
        <w:rPr>
          <w:noProof/>
        </w:rPr>
        <w:pict w14:anchorId="698F46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105pt;margin-top:21pt;width:200pt;height:49.2pt;z-index:251657728">
            <v:imagedata r:id="rId7" o:title="同济大学字"/>
            <w10:wrap type="topAndBottom"/>
          </v:shape>
        </w:pict>
      </w:r>
    </w:p>
    <w:p w14:paraId="7386E4E3" w14:textId="77777777" w:rsidR="00117889" w:rsidRDefault="00117889">
      <w:pPr>
        <w:ind w:firstLine="480"/>
        <w:rPr>
          <w:rFonts w:hint="eastAsia"/>
        </w:rPr>
      </w:pPr>
    </w:p>
    <w:p w14:paraId="1907C676" w14:textId="77777777" w:rsidR="00117889" w:rsidRDefault="00117889" w:rsidP="003043C7">
      <w:pPr>
        <w:rPr>
          <w:rFonts w:ascii="黑体" w:eastAsia="黑体" w:hint="eastAsia"/>
          <w:sz w:val="72"/>
        </w:rPr>
        <w:spacing w:line="240" w:lineRule="auto"/>
      </w:pPr>
      <w:r>
        <w:rPr>
          <w:rFonts w:ascii="黑体" w:eastAsia="黑体"/>
          <w:sz w:val="48"/>
        </w:rPr>
        <w:t xml:space="preserve"> </w:t>
      </w:r>
      <w:r>
        <w:rPr>
          <w:rFonts w:ascii="黑体" w:eastAsia="黑体" w:hint="eastAsia"/>
          <w:sz w:val="72"/>
        </w:rPr>
        <w:t>毕业设计</w:t>
      </w:r>
      <w:r w:rsidRPr="000F31AE">
        <w:rPr>
          <w:rFonts w:ascii="宋体" w:hAnsi="宋体" w:hint="eastAsia"/>
          <w:sz w:val="72"/>
        </w:rPr>
        <w:t>(</w:t>
      </w:r>
      <w:r>
        <w:rPr>
          <w:rFonts w:ascii="黑体" w:eastAsia="黑体" w:hint="eastAsia"/>
          <w:sz w:val="72"/>
        </w:rPr>
        <w:t>论文</w:t>
      </w:r>
      <w:r w:rsidRPr="000F31AE">
        <w:rPr>
          <w:rFonts w:ascii="宋体" w:hAnsi="宋体" w:hint="eastAsia"/>
          <w:sz w:val="72"/>
        </w:rPr>
        <w:t>)</w:t>
      </w:r>
      <w:r w:rsidR="003C56B6">
        <w:rPr>
          <w:rFonts w:ascii="黑体" w:eastAsia="黑体" w:hint="eastAsia"/>
          <w:sz w:val="72"/>
        </w:rPr>
        <w:t>开题报告</w:t>
      </w:r>
    </w:p>
    <w:p w14:paraId="5A556938" w14:textId="77777777" w:rsidR="000F31AE" w:rsidRPr="00117889" w:rsidRDefault="000F31AE">
      <w:pPr>
        <w:ind w:firstLine="480"/>
        <w:rPr>
          <w:rFonts w:ascii="黑体" w:eastAsia="黑体" w:hint="eastAsia"/>
          <w:szCs w:val="21"/>
        </w:rPr>
      </w:pPr>
    </w:p>
    <w:p w14:paraId="19B266B5" w14:textId="77777777" w:rsidR="00117889" w:rsidRDefault="00117889">
      <w:pPr>
        <w:ind w:firstLine="640"/>
        <w:rPr>
          <w:rFonts w:ascii="黑体" w:eastAsia="黑体"/>
          <w:sz w:val="32"/>
          <w:szCs w:val="32"/>
        </w:rPr>
      </w:pPr>
    </w:p>
    <w:p w14:paraId="6C1AEDAA" w14:textId="77777777" w:rsidR="006323E4" w:rsidRDefault="006323E4">
      <w:pPr>
        <w:ind w:firstLine="640"/>
        <w:rPr>
          <w:rFonts w:hint="eastAsia"/>
          <w:sz w:val="32"/>
        </w:rPr>
      </w:pPr>
    </w:p>
    <w:p w14:paraId="601C90A3" w14:textId="77777777" w:rsidR="008C10CC" w:rsidRDefault="008C10CC">
      <w:pPr>
        <w:ind w:firstLine="640"/>
        <w:rPr>
          <w:rFonts w:hint="eastAsia"/>
          <w:sz w:val="32"/>
        </w:rPr>
      </w:pPr>
    </w:p>
    <w:tbl>
      <w:tblPr>
        <w:tblW w:w="7470" w:type="dxa"/>
        <w:jc w:val="center"/>
        <w:tblLayout w:type="fixed"/>
        <w:tblLook w:val="0000" w:firstRow="0" w:lastRow="0" w:firstColumn="0" w:lastColumn="0" w:noHBand="0" w:noVBand="0"/>
      </w:tblPr>
      <w:tblGrid>
        <w:gridCol w:w="1863"/>
        <w:gridCol w:w="1642"/>
        <w:gridCol w:w="1298"/>
        <w:gridCol w:w="2667"/>
      </w:tblGrid>
      <w:tr w:rsidR="00117889" w:rsidRPr="008C1668" w14:paraId="4C10941E" w14:textId="77777777" w:rsidTr="00832D41">
        <w:tblPrEx>
          <w:tblCellMar>
            <w:top w:w="0" w:type="dxa"/>
            <w:bottom w:w="0" w:type="dxa"/>
          </w:tblCellMar>
        </w:tblPrEx>
        <w:trPr>
          <w:trHeight w:val="848"/>
          <w:jc w:val="center"/>
        </w:trPr>
        <w:tc>
          <w:tcPr>
            <w:tcW w:w="1863" w:type="dxa"/>
            <w:vAlign w:val="bottom"/>
          </w:tcPr>
          <w:p w14:paraId="42E59D0C" w14:textId="77777777" w:rsidR="00117889" w:rsidRPr="00470EA2" w:rsidRDefault="00117889" w:rsidP="003043C7">
            <w:pPr>
              <w:snapToGrid w:val="0"/>
              <w:rPr>
                <w:rFonts w:ascii="宋体" w:hAnsi="宋体"/>
                <w:sz w:val="28"/>
                <w:szCs w:val="28"/>
              </w:rPr>
            </w:pPr>
            <w:permStart w:id="474163669" w:edGrp="everyone" w:colFirst="1" w:colLast="1"/>
            <w:r w:rsidRPr="00470EA2">
              <w:rPr>
                <w:rFonts w:ascii="宋体" w:hAnsi="宋体"/>
                <w:sz w:val="28"/>
                <w:szCs w:val="28"/>
              </w:rPr>
              <w:t>课题名称</w:t>
            </w:r>
          </w:p>
        </w:tc>
        <w:tc>
          <w:tcPr>
            <w:tcW w:w="5607" w:type="dxa"/>
            <w:gridSpan w:val="3"/>
            <w:tcBorders>
              <w:bottom w:val="single" w:sz="4" w:space="0" w:color="auto"/>
            </w:tcBorders>
            <w:vAlign w:val="bottom"/>
          </w:tcPr>
          <w:p w14:paraId="7DC6BB69" w14:textId="77777777" w:rsidR="000F31AE" w:rsidRPr="00470EA2" w:rsidRDefault="00B20101" w:rsidP="003043C7">
            <w:pPr>
              <w:spacing w:line="240" w:lineRule="auto" w:before="0" w:after="0"/>
              <w:jc w:val="center"/>
              <w:rPr>
                <w:rFonts w:ascii="宋体" w:hAnsi="宋体"/>
                <w:sz w:val="28"/>
                <w:szCs w:val="28"/>
              </w:rPr>
            </w:pPr>
            <w:r>
              <w:rPr>
                <w:rFonts w:ascii="Times New Roman" w:hAnsi="Times New Roman" w:cs="Times New Roman" w:eastAsia="宋体"/>
                <w:b w:val="0"/>
                <w:sz w:val="28"/>
              </w:rPr>
              <w:t>基于PX4的水下航行器模型控制方法研究</w:t>
            </w:r>
          </w:p>
        </w:tc>
      </w:tr>
      <w:tr w:rsidR="00117889" w:rsidRPr="008C1668" w14:paraId="2E96675F" w14:textId="77777777" w:rsidTr="00832D41">
        <w:tblPrEx>
          <w:tblCellMar>
            <w:top w:w="0" w:type="dxa"/>
            <w:bottom w:w="0" w:type="dxa"/>
          </w:tblCellMar>
        </w:tblPrEx>
        <w:trPr>
          <w:trHeight w:val="848"/>
          <w:jc w:val="center"/>
        </w:trPr>
        <w:tc>
          <w:tcPr>
            <w:tcW w:w="1863" w:type="dxa"/>
            <w:vAlign w:val="bottom"/>
          </w:tcPr>
          <w:p w14:paraId="330F2F2C" w14:textId="77777777" w:rsidR="00117889" w:rsidRPr="00470EA2" w:rsidRDefault="00117889" w:rsidP="003043C7">
            <w:pPr>
              <w:rPr>
                <w:rFonts w:ascii="宋体" w:hAnsi="宋体"/>
                <w:sz w:val="28"/>
                <w:szCs w:val="28"/>
              </w:rPr>
            </w:pPr>
            <w:permStart w:id="611349869" w:edGrp="everyone" w:colFirst="1" w:colLast="1"/>
            <w:permEnd w:id="474163669"/>
            <w:r w:rsidRPr="00470EA2">
              <w:rPr>
                <w:rFonts w:ascii="宋体" w:hAnsi="宋体"/>
                <w:spacing w:val="-18"/>
                <w:sz w:val="28"/>
                <w:szCs w:val="28"/>
              </w:rPr>
              <w:t>副</w:t>
            </w:r>
            <w:r w:rsidR="00A21022" w:rsidRPr="00470EA2">
              <w:rPr>
                <w:rFonts w:ascii="宋体" w:hAnsi="宋体"/>
                <w:spacing w:val="-18"/>
                <w:sz w:val="28"/>
                <w:szCs w:val="28"/>
              </w:rPr>
              <w:t xml:space="preserve"> </w:t>
            </w:r>
            <w:r w:rsidRPr="00470EA2">
              <w:rPr>
                <w:rFonts w:ascii="宋体" w:hAnsi="宋体"/>
                <w:spacing w:val="-18"/>
                <w:sz w:val="28"/>
                <w:szCs w:val="28"/>
              </w:rPr>
              <w:t>标</w:t>
            </w:r>
            <w:r w:rsidR="000F31AE" w:rsidRPr="00470EA2">
              <w:rPr>
                <w:rFonts w:ascii="宋体" w:hAnsi="宋体"/>
                <w:spacing w:val="-18"/>
                <w:sz w:val="28"/>
                <w:szCs w:val="28"/>
              </w:rPr>
              <w:t xml:space="preserve"> </w:t>
            </w:r>
            <w:r w:rsidRPr="00470EA2">
              <w:rPr>
                <w:rFonts w:ascii="宋体" w:hAnsi="宋体"/>
                <w:spacing w:val="-18"/>
                <w:sz w:val="28"/>
                <w:szCs w:val="28"/>
              </w:rPr>
              <w:t>题</w:t>
            </w:r>
          </w:p>
        </w:tc>
        <w:tc>
          <w:tcPr>
            <w:tcW w:w="5607" w:type="dxa"/>
            <w:gridSpan w:val="3"/>
            <w:tcBorders>
              <w:top w:val="single" w:sz="4" w:space="0" w:color="auto"/>
              <w:bottom w:val="single" w:sz="4" w:space="0" w:color="auto"/>
            </w:tcBorders>
            <w:vAlign w:val="bottom"/>
          </w:tcPr>
          <w:p w14:paraId="68917084" w14:textId="77777777" w:rsidR="000F31AE" w:rsidRPr="00470EA2" w:rsidRDefault="000F31AE" w:rsidP="003043C7">
            <w:pPr>
              <w:rPr>
                <w:rFonts w:ascii="宋体" w:hAnsi="宋体"/>
                <w:sz w:val="28"/>
                <w:szCs w:val="28"/>
              </w:rPr>
            </w:pPr>
          </w:p>
        </w:tc>
      </w:tr>
      <w:tr w:rsidR="00117889" w:rsidRPr="008C1668" w14:paraId="532EA6F6" w14:textId="77777777" w:rsidTr="00832D41">
        <w:tblPrEx>
          <w:tblCellMar>
            <w:top w:w="0" w:type="dxa"/>
            <w:bottom w:w="0" w:type="dxa"/>
          </w:tblCellMar>
        </w:tblPrEx>
        <w:trPr>
          <w:trHeight w:val="848"/>
          <w:jc w:val="center"/>
        </w:trPr>
        <w:tc>
          <w:tcPr>
            <w:tcW w:w="1863" w:type="dxa"/>
            <w:vAlign w:val="bottom"/>
          </w:tcPr>
          <w:p w14:paraId="5B08852C" w14:textId="77777777" w:rsidR="00117889" w:rsidRPr="00470EA2" w:rsidRDefault="00117889" w:rsidP="003043C7">
            <w:pPr>
              <w:rPr>
                <w:rFonts w:ascii="宋体" w:hAnsi="宋体"/>
                <w:sz w:val="28"/>
                <w:szCs w:val="28"/>
              </w:rPr>
            </w:pPr>
            <w:permStart w:id="1407324292" w:edGrp="everyone" w:colFirst="1" w:colLast="1"/>
            <w:permEnd w:id="611349869"/>
            <w:r w:rsidRPr="00470EA2">
              <w:rPr>
                <w:rFonts w:ascii="宋体" w:hAnsi="宋体"/>
                <w:sz w:val="28"/>
                <w:szCs w:val="28"/>
              </w:rPr>
              <w:t>学</w:t>
            </w:r>
            <w:r w:rsidR="008E2049" w:rsidRPr="00470EA2">
              <w:rPr>
                <w:rFonts w:ascii="宋体" w:hAnsi="宋体" w:hint="eastAsia"/>
                <w:sz w:val="28"/>
                <w:szCs w:val="28"/>
              </w:rPr>
              <w:t xml:space="preserve">    </w:t>
            </w:r>
            <w:r w:rsidRPr="00470EA2">
              <w:rPr>
                <w:rFonts w:ascii="宋体" w:hAnsi="宋体"/>
                <w:sz w:val="28"/>
                <w:szCs w:val="28"/>
              </w:rPr>
              <w:t>院</w:t>
            </w:r>
            <w:r w:rsidR="008E2049" w:rsidRPr="00470EA2">
              <w:rPr>
                <w:rFonts w:ascii="宋体" w:hAnsi="宋体" w:hint="eastAsia"/>
                <w:sz w:val="28"/>
                <w:szCs w:val="28"/>
              </w:rPr>
              <w:t xml:space="preserve"> </w:t>
            </w:r>
          </w:p>
        </w:tc>
        <w:tc>
          <w:tcPr>
            <w:tcW w:w="5607" w:type="dxa"/>
            <w:gridSpan w:val="3"/>
            <w:tcBorders>
              <w:top w:val="single" w:sz="4" w:space="0" w:color="auto"/>
              <w:bottom w:val="single" w:sz="4" w:space="0" w:color="auto"/>
            </w:tcBorders>
            <w:vAlign w:val="bottom"/>
          </w:tcPr>
          <w:p w14:paraId="70E9C4C5" w14:textId="77777777" w:rsidR="000F31AE" w:rsidRPr="00470EA2" w:rsidRDefault="000F31AE" w:rsidP="003043C7">
            <w:pPr>
              <w:spacing w:line="240" w:lineRule="auto" w:before="0" w:after="0"/>
              <w:jc w:val="center"/>
              <w:rPr>
                <w:rFonts w:ascii="宋体" w:hAnsi="宋体"/>
                <w:sz w:val="28"/>
                <w:szCs w:val="28"/>
              </w:rPr>
            </w:pPr>
            <w:r>
              <w:rPr>
                <w:rFonts w:ascii="Times New Roman" w:hAnsi="Times New Roman" w:cs="Times New Roman" w:eastAsia="宋体"/>
                <w:b w:val="0"/>
                <w:sz w:val="28"/>
              </w:rPr>
              <w:t>机械工程与机器人学院</w:t>
            </w:r>
          </w:p>
        </w:tc>
      </w:tr>
      <w:tr w:rsidR="00117889" w:rsidRPr="008C1668" w14:paraId="14C5218E" w14:textId="77777777" w:rsidTr="00832D41">
        <w:tblPrEx>
          <w:tblCellMar>
            <w:top w:w="0" w:type="dxa"/>
            <w:bottom w:w="0" w:type="dxa"/>
          </w:tblCellMar>
        </w:tblPrEx>
        <w:trPr>
          <w:trHeight w:val="848"/>
          <w:jc w:val="center"/>
        </w:trPr>
        <w:tc>
          <w:tcPr>
            <w:tcW w:w="1863" w:type="dxa"/>
            <w:vAlign w:val="bottom"/>
          </w:tcPr>
          <w:p w14:paraId="3FC80CB3" w14:textId="77777777" w:rsidR="00117889" w:rsidRPr="00470EA2" w:rsidRDefault="00117889" w:rsidP="003043C7">
            <w:pPr>
              <w:rPr>
                <w:rFonts w:ascii="宋体" w:hAnsi="宋体"/>
                <w:sz w:val="28"/>
                <w:szCs w:val="28"/>
              </w:rPr>
            </w:pPr>
            <w:permStart w:id="1359107499" w:edGrp="everyone" w:colFirst="1" w:colLast="1"/>
            <w:permEnd w:id="1407324292"/>
            <w:r w:rsidRPr="00470EA2">
              <w:rPr>
                <w:rFonts w:ascii="宋体" w:hAnsi="宋体"/>
                <w:sz w:val="28"/>
                <w:szCs w:val="28"/>
              </w:rPr>
              <w:t>专    业</w:t>
            </w:r>
          </w:p>
        </w:tc>
        <w:tc>
          <w:tcPr>
            <w:tcW w:w="5607" w:type="dxa"/>
            <w:gridSpan w:val="3"/>
            <w:tcBorders>
              <w:top w:val="single" w:sz="4" w:space="0" w:color="auto"/>
              <w:bottom w:val="single" w:sz="4" w:space="0" w:color="auto"/>
            </w:tcBorders>
            <w:vAlign w:val="bottom"/>
          </w:tcPr>
          <w:p w14:paraId="789C06FD" w14:textId="77777777" w:rsidR="000F31AE" w:rsidRPr="00470EA2" w:rsidRDefault="000F31AE" w:rsidP="003043C7">
            <w:pPr>
              <w:spacing w:line="240" w:lineRule="auto" w:before="0" w:after="0"/>
              <w:jc w:val="center"/>
              <w:rPr>
                <w:rFonts w:ascii="宋体" w:hAnsi="宋体"/>
                <w:sz w:val="28"/>
                <w:szCs w:val="28"/>
              </w:rPr>
            </w:pPr>
            <w:r>
              <w:rPr>
                <w:rFonts w:ascii="Times New Roman" w:hAnsi="Times New Roman" w:cs="Times New Roman" w:eastAsia="宋体"/>
                <w:b w:val="0"/>
                <w:sz w:val="28"/>
              </w:rPr>
              <w:t>机械设计制造及其自动化</w:t>
            </w:r>
          </w:p>
        </w:tc>
      </w:tr>
      <w:tr w:rsidR="00A21022" w:rsidRPr="008C1668" w14:paraId="3F37394E" w14:textId="77777777" w:rsidTr="00832D41">
        <w:tblPrEx>
          <w:tblCellMar>
            <w:top w:w="0" w:type="dxa"/>
            <w:bottom w:w="0" w:type="dxa"/>
          </w:tblCellMar>
        </w:tblPrEx>
        <w:trPr>
          <w:trHeight w:val="848"/>
          <w:jc w:val="center"/>
        </w:trPr>
        <w:tc>
          <w:tcPr>
            <w:tcW w:w="1863" w:type="dxa"/>
            <w:vAlign w:val="bottom"/>
          </w:tcPr>
          <w:p w14:paraId="69A511FC" w14:textId="77777777" w:rsidR="00A21022" w:rsidRPr="00470EA2" w:rsidRDefault="00A21022" w:rsidP="003043C7">
            <w:pPr>
              <w:rPr>
                <w:rFonts w:ascii="宋体" w:hAnsi="宋体"/>
                <w:sz w:val="28"/>
                <w:szCs w:val="28"/>
              </w:rPr>
            </w:pPr>
            <w:permStart w:id="2030010102" w:edGrp="everyone" w:colFirst="3" w:colLast="3"/>
            <w:permStart w:id="121383691" w:edGrp="everyone" w:colFirst="1" w:colLast="1"/>
            <w:permEnd w:id="1359107499"/>
            <w:r w:rsidRPr="00470EA2">
              <w:rPr>
                <w:rFonts w:ascii="宋体" w:hAnsi="宋体"/>
                <w:sz w:val="28"/>
                <w:szCs w:val="28"/>
              </w:rPr>
              <w:t>学生姓名</w:t>
            </w:r>
          </w:p>
        </w:tc>
        <w:tc>
          <w:tcPr>
            <w:tcW w:w="1642" w:type="dxa"/>
            <w:tcBorders>
              <w:bottom w:val="single" w:sz="4" w:space="0" w:color="auto"/>
            </w:tcBorders>
            <w:vAlign w:val="bottom"/>
          </w:tcPr>
          <w:p w14:paraId="7CAFE2BC" w14:textId="77777777" w:rsidR="00A21022" w:rsidRPr="00470EA2" w:rsidRDefault="00A21022" w:rsidP="003043C7">
            <w:pPr>
              <w:spacing w:line="240" w:lineRule="auto" w:before="0" w:after="0"/>
              <w:jc w:val="center"/>
              <w:rPr>
                <w:rFonts w:ascii="宋体" w:hAnsi="宋体"/>
                <w:sz w:val="28"/>
                <w:szCs w:val="28"/>
              </w:rPr>
            </w:pPr>
            <w:r>
              <w:rPr>
                <w:rFonts w:ascii="Times New Roman" w:hAnsi="Times New Roman" w:cs="Times New Roman" w:eastAsia="宋体"/>
                <w:b w:val="0"/>
                <w:sz w:val="28"/>
              </w:rPr>
              <w:t>张卫恒</w:t>
            </w:r>
          </w:p>
        </w:tc>
        <w:tc>
          <w:tcPr>
            <w:tcW w:w="1298" w:type="dxa"/>
            <w:vAlign w:val="bottom"/>
          </w:tcPr>
          <w:p w14:paraId="029A3F9C" w14:textId="77777777" w:rsidR="00A21022" w:rsidRPr="00470EA2" w:rsidRDefault="00A21022" w:rsidP="003043C7">
            <w:pPr>
              <w:rPr>
                <w:rFonts w:ascii="宋体" w:hAnsi="宋体"/>
                <w:sz w:val="28"/>
                <w:szCs w:val="28"/>
              </w:rPr>
            </w:pPr>
            <w:r w:rsidRPr="00470EA2">
              <w:rPr>
                <w:rFonts w:ascii="宋体" w:hAnsi="宋体"/>
                <w:sz w:val="28"/>
                <w:szCs w:val="28"/>
              </w:rPr>
              <w:t>学 号</w:t>
            </w:r>
          </w:p>
        </w:tc>
        <w:tc>
          <w:tcPr>
            <w:tcW w:w="2667" w:type="dxa"/>
            <w:tcBorders>
              <w:bottom w:val="single" w:sz="4" w:space="0" w:color="auto"/>
            </w:tcBorders>
            <w:vAlign w:val="bottom"/>
          </w:tcPr>
          <w:p w14:paraId="7286FA24" w14:textId="77777777" w:rsidR="00A21022" w:rsidRPr="00470EA2" w:rsidRDefault="00A21022" w:rsidP="003043C7">
            <w:pPr>
              <w:spacing w:line="240" w:lineRule="auto" w:before="0" w:after="0"/>
              <w:jc w:val="center"/>
              <w:rPr>
                <w:rFonts w:ascii="宋体" w:hAnsi="宋体"/>
                <w:sz w:val="28"/>
                <w:szCs w:val="28"/>
              </w:rPr>
            </w:pPr>
            <w:r>
              <w:rPr>
                <w:rFonts w:ascii="Times New Roman" w:hAnsi="Times New Roman" w:cs="Times New Roman" w:eastAsia="宋体"/>
                <w:b w:val="0"/>
                <w:sz w:val="28"/>
              </w:rPr>
              <w:t>2352407</w:t>
            </w:r>
          </w:p>
        </w:tc>
      </w:tr>
      <w:permEnd w:id="2030010102"/>
      <w:permEnd w:id="121383691"/>
      <w:tr w:rsidR="006A462B" w:rsidRPr="008C1668" w14:paraId="055FFB75" w14:textId="77777777" w:rsidTr="00832D41">
        <w:tblPrEx>
          <w:tblCellMar>
            <w:top w:w="0" w:type="dxa"/>
            <w:bottom w:w="0" w:type="dxa"/>
          </w:tblCellMar>
        </w:tblPrEx>
        <w:trPr>
          <w:trHeight w:val="848"/>
          <w:jc w:val="center"/>
        </w:trPr>
        <w:tc>
          <w:tcPr>
            <w:tcW w:w="1863" w:type="dxa"/>
            <w:vAlign w:val="bottom"/>
          </w:tcPr>
          <w:p w14:paraId="449E4A6A" w14:textId="77777777" w:rsidR="006A462B" w:rsidRPr="008C1668" w:rsidRDefault="006A462B" w:rsidP="000F31AE">
            <w:pPr>
              <w:ind w:firstLine="560"/>
              <w:rPr>
                <w:sz w:val="28"/>
                <w:szCs w:val="28"/>
              </w:rPr>
            </w:pPr>
          </w:p>
          <w:p w14:paraId="07999FA0" w14:textId="77777777" w:rsidR="006A462B" w:rsidRPr="008C1668" w:rsidRDefault="006A462B" w:rsidP="000F31AE">
            <w:pPr>
              <w:ind w:firstLine="560"/>
              <w:rPr>
                <w:sz w:val="28"/>
                <w:szCs w:val="28"/>
              </w:rPr>
            </w:pPr>
          </w:p>
          <w:p w14:paraId="2B8D6BCF" w14:textId="77777777" w:rsidR="006A462B" w:rsidRPr="008C1668" w:rsidRDefault="006A462B" w:rsidP="000F31AE">
            <w:pPr>
              <w:ind w:firstLine="560"/>
              <w:rPr>
                <w:sz w:val="28"/>
                <w:szCs w:val="28"/>
              </w:rPr>
            </w:pPr>
          </w:p>
          <w:p w14:paraId="6B6D9DE4" w14:textId="77777777" w:rsidR="006A462B" w:rsidRPr="008C1668" w:rsidRDefault="006A462B" w:rsidP="000F31AE">
            <w:pPr>
              <w:ind w:firstLine="560"/>
              <w:rPr>
                <w:sz w:val="28"/>
                <w:szCs w:val="28"/>
              </w:rPr>
            </w:pPr>
          </w:p>
        </w:tc>
        <w:tc>
          <w:tcPr>
            <w:tcW w:w="1642" w:type="dxa"/>
            <w:tcBorders>
              <w:top w:val="single" w:sz="4" w:space="0" w:color="auto"/>
            </w:tcBorders>
            <w:vAlign w:val="bottom"/>
          </w:tcPr>
          <w:p w14:paraId="674F2EC9" w14:textId="77777777" w:rsidR="006A462B" w:rsidRPr="008C1668" w:rsidRDefault="006A462B">
            <w:pPr>
              <w:ind w:firstLine="560"/>
              <w:jc w:val="center"/>
              <w:rPr>
                <w:sz w:val="28"/>
                <w:szCs w:val="28"/>
              </w:rPr>
            </w:pPr>
          </w:p>
        </w:tc>
        <w:tc>
          <w:tcPr>
            <w:tcW w:w="1298" w:type="dxa"/>
            <w:vAlign w:val="bottom"/>
          </w:tcPr>
          <w:p w14:paraId="63C2B1B4" w14:textId="77777777" w:rsidR="006A462B" w:rsidRPr="008C1668" w:rsidRDefault="006A462B">
            <w:pPr>
              <w:ind w:firstLine="560"/>
              <w:jc w:val="center"/>
              <w:rPr>
                <w:sz w:val="28"/>
                <w:szCs w:val="28"/>
              </w:rPr>
            </w:pPr>
          </w:p>
        </w:tc>
        <w:tc>
          <w:tcPr>
            <w:tcW w:w="2667" w:type="dxa"/>
            <w:vAlign w:val="bottom"/>
          </w:tcPr>
          <w:p w14:paraId="3F283AAE" w14:textId="77777777" w:rsidR="006A462B" w:rsidRPr="008C1668" w:rsidRDefault="006A462B">
            <w:pPr>
              <w:ind w:firstLine="560"/>
              <w:jc w:val="center"/>
              <w:rPr>
                <w:sz w:val="28"/>
                <w:szCs w:val="28"/>
              </w:rPr>
            </w:pPr>
          </w:p>
        </w:tc>
      </w:tr>
    </w:tbl>
    <w:p w14:paraId="4E3E6D9A" w14:textId="77777777" w:rsidR="00444EA1" w:rsidRDefault="00444EA1">
      <w:pPr>
        <w:ind w:firstLine="600"/>
        <w:rPr>
          <w:rFonts w:ascii="黑体" w:eastAsia="黑体" w:hint="eastAsia"/>
          <w:sz w:val="30"/>
        </w:rPr>
      </w:pPr>
    </w:p>
    <w:p w14:paraId="4BFF8C54" w14:textId="77777777" w:rsidR="006A462B" w:rsidRDefault="006A462B">
      <w:pPr>
        <w:ind w:firstLine="600"/>
        <w:rPr>
          <w:rFonts w:ascii="黑体" w:eastAsia="黑体" w:hint="eastAsia"/>
          <w:sz w:val="30"/>
        </w:rPr>
      </w:pPr>
    </w:p>
    <w:p w14:paraId="25B75520" w14:textId="77777777" w:rsidR="003C56B6" w:rsidRDefault="003C56B6">
      <w:pPr>
        <w:ind w:firstLine="600"/>
        <w:rPr>
          <w:rFonts w:ascii="黑体" w:eastAsia="黑体" w:hint="eastAsia"/>
          <w:sz w:val="30"/>
        </w:rPr>
      </w:pPr>
    </w:p>
    <w:p w14:paraId="0549619A" w14:textId="77777777" w:rsidR="003C56B6" w:rsidRDefault="003C56B6">
      <w:pPr>
        <w:ind w:firstLine="600"/>
        <w:rPr>
          <w:rFonts w:ascii="黑体" w:eastAsia="黑体" w:hint="eastAsia"/>
          <w:sz w:val="30"/>
        </w:rPr>
      </w:pPr>
    </w:p>
    <w:p w14:paraId="6B321487" w14:textId="77777777" w:rsidR="003C56B6" w:rsidRDefault="003C56B6">
      <w:pPr>
        <w:ind w:firstLine="600"/>
        <w:rPr>
          <w:rFonts w:ascii="黑体" w:eastAsia="黑体" w:hint="eastAsia"/>
          <w:sz w:val="30"/>
        </w:rPr>
      </w:pPr>
    </w:p>
    <w:tbl>
      <w:tblPr>
        <w:tblW w:w="0" w:type="auto"/>
        <w:jc w:val="center"/>
        <w:tblLayout w:type="fixed"/>
        <w:tblLook w:val="0000" w:firstRow="0" w:lastRow="0" w:firstColumn="0" w:lastColumn="0" w:noHBand="0" w:noVBand="0"/>
      </w:tblPr>
      <w:tblGrid>
        <w:gridCol w:w="1126"/>
        <w:gridCol w:w="850"/>
        <w:gridCol w:w="727"/>
        <w:gridCol w:w="446"/>
        <w:gridCol w:w="629"/>
        <w:gridCol w:w="466"/>
      </w:tblGrid>
      <w:tr w:rsidR="003C56B6" w:rsidRPr="00470EA2" w14:paraId="612BED1A" w14:textId="77777777" w:rsidTr="00217F24">
        <w:tblPrEx>
          <w:tblCellMar>
            <w:top w:w="0" w:type="dxa"/>
            <w:bottom w:w="0" w:type="dxa"/>
          </w:tblCellMar>
        </w:tblPrEx>
        <w:trPr>
          <w:trHeight w:val="439"/>
          <w:jc w:val="center"/>
        </w:trPr>
        <w:tc>
          <w:tcPr>
            <w:tcW w:w="1126" w:type="dxa"/>
            <w:tcBorders>
              <w:bottom w:val="single" w:sz="4" w:space="0" w:color="auto"/>
            </w:tcBorders>
            <w:vAlign w:val="bottom"/>
          </w:tcPr>
          <w:p w14:paraId="7B4A7919" w14:textId="77777777" w:rsidR="003C56B6" w:rsidRPr="00470EA2" w:rsidRDefault="003C56B6" w:rsidP="00536562">
            <w:pPr>
              <w:spacing w:line="240" w:lineRule="auto" w:before="0" w:after="0"/>
              <w:jc w:val="center"/>
              <w:rPr>
                <w:rFonts w:ascii="宋体" w:hAnsi="宋体" w:hint="eastAsia"/>
                <w:sz w:val="28"/>
                <w:szCs w:val="28"/>
              </w:rPr>
            </w:pPr>
            <w:permStart w:id="1928413070" w:edGrp="everyone" w:colFirst="4" w:colLast="4"/>
            <w:permStart w:id="1573938271" w:edGrp="everyone" w:colFirst="2" w:colLast="2"/>
            <w:permStart w:id="1767062397" w:edGrp="everyone" w:colFirst="0" w:colLast="0"/>
            <w:r>
              <w:rPr>
                <w:rFonts w:ascii="Times New Roman" w:hAnsi="Times New Roman" w:cs="Times New Roman" w:eastAsia="宋体"/>
                <w:b w:val="0"/>
                <w:sz w:val="28"/>
              </w:rPr>
              <w:t>2026</w:t>
            </w:r>
          </w:p>
        </w:tc>
        <w:tc>
          <w:tcPr>
            <w:tcW w:w="850" w:type="dxa"/>
            <w:vAlign w:val="bottom"/>
          </w:tcPr>
          <w:p w14:paraId="7314B03C" w14:textId="77777777" w:rsidR="003C56B6" w:rsidRPr="00470EA2" w:rsidRDefault="003C56B6" w:rsidP="00536562">
            <w:pPr>
              <w:jc w:val="center"/>
              <w:rPr>
                <w:rFonts w:ascii="宋体" w:hAnsi="宋体" w:hint="eastAsia"/>
                <w:sz w:val="28"/>
                <w:szCs w:val="28"/>
              </w:rPr>
            </w:pPr>
            <w:r w:rsidRPr="00470EA2">
              <w:rPr>
                <w:rFonts w:ascii="宋体" w:hAnsi="宋体" w:hint="eastAsia"/>
                <w:sz w:val="28"/>
                <w:szCs w:val="28"/>
              </w:rPr>
              <w:t>年</w:t>
            </w:r>
          </w:p>
        </w:tc>
        <w:tc>
          <w:tcPr>
            <w:tcW w:w="727" w:type="dxa"/>
            <w:tcBorders>
              <w:bottom w:val="single" w:sz="4" w:space="0" w:color="auto"/>
            </w:tcBorders>
            <w:vAlign w:val="bottom"/>
          </w:tcPr>
          <w:p w14:paraId="7BB9ED3F" w14:textId="77777777" w:rsidR="003C56B6" w:rsidRPr="00470EA2" w:rsidRDefault="003C56B6" w:rsidP="00536562">
            <w:pPr>
              <w:spacing w:line="240" w:lineRule="auto" w:before="0" w:after="0"/>
              <w:jc w:val="center"/>
              <w:rPr>
                <w:rFonts w:ascii="宋体" w:hAnsi="宋体" w:hint="eastAsia"/>
                <w:sz w:val="28"/>
                <w:szCs w:val="28"/>
              </w:rPr>
            </w:pPr>
            <w:r>
              <w:rPr>
                <w:rFonts w:ascii="Times New Roman" w:hAnsi="Times New Roman" w:cs="Times New Roman" w:eastAsia="宋体"/>
                <w:b w:val="0"/>
                <w:sz w:val="28"/>
              </w:rPr>
              <w:t>10</w:t>
            </w:r>
          </w:p>
        </w:tc>
        <w:tc>
          <w:tcPr>
            <w:tcW w:w="446" w:type="dxa"/>
            <w:vAlign w:val="bottom"/>
          </w:tcPr>
          <w:p w14:paraId="26CF890B" w14:textId="77777777" w:rsidR="003C56B6" w:rsidRPr="00470EA2" w:rsidRDefault="003C56B6" w:rsidP="00536562">
            <w:pPr>
              <w:jc w:val="center"/>
              <w:rPr>
                <w:rFonts w:ascii="宋体" w:hAnsi="宋体" w:hint="eastAsia"/>
                <w:sz w:val="28"/>
                <w:szCs w:val="28"/>
              </w:rPr>
            </w:pPr>
            <w:r w:rsidRPr="00470EA2">
              <w:rPr>
                <w:rFonts w:ascii="宋体" w:hAnsi="宋体" w:hint="eastAsia"/>
                <w:sz w:val="28"/>
                <w:szCs w:val="28"/>
              </w:rPr>
              <w:t>月</w:t>
            </w:r>
          </w:p>
        </w:tc>
        <w:tc>
          <w:tcPr>
            <w:tcW w:w="629" w:type="dxa"/>
            <w:tcBorders>
              <w:bottom w:val="single" w:sz="4" w:space="0" w:color="auto"/>
            </w:tcBorders>
            <w:vAlign w:val="bottom"/>
          </w:tcPr>
          <w:p w14:paraId="02C927EB" w14:textId="77777777" w:rsidR="003C56B6" w:rsidRPr="00470EA2" w:rsidRDefault="003C56B6" w:rsidP="00536562">
            <w:pPr>
              <w:spacing w:line="240" w:lineRule="auto" w:before="0" w:after="0"/>
              <w:jc w:val="center"/>
              <w:rPr>
                <w:rFonts w:ascii="宋体" w:hAnsi="宋体" w:hint="eastAsia"/>
                <w:sz w:val="28"/>
                <w:szCs w:val="28"/>
              </w:rPr>
            </w:pPr>
            <w:r>
              <w:rPr>
                <w:rFonts w:ascii="Times New Roman" w:hAnsi="Times New Roman" w:cs="Times New Roman" w:eastAsia="宋体"/>
                <w:b w:val="0"/>
                <w:sz w:val="28"/>
              </w:rPr>
              <w:t>9</w:t>
            </w:r>
          </w:p>
        </w:tc>
        <w:tc>
          <w:tcPr>
            <w:tcW w:w="466" w:type="dxa"/>
            <w:vAlign w:val="bottom"/>
          </w:tcPr>
          <w:p w14:paraId="7A0D0955" w14:textId="77777777" w:rsidR="003C56B6" w:rsidRPr="00470EA2" w:rsidRDefault="003C56B6" w:rsidP="00536562">
            <w:pPr>
              <w:jc w:val="center"/>
              <w:rPr>
                <w:rFonts w:ascii="宋体" w:hAnsi="宋体" w:hint="eastAsia"/>
                <w:sz w:val="28"/>
                <w:szCs w:val="28"/>
              </w:rPr>
            </w:pPr>
            <w:r w:rsidRPr="00470EA2">
              <w:rPr>
                <w:rFonts w:ascii="宋体" w:hAnsi="宋体" w:hint="eastAsia"/>
                <w:sz w:val="28"/>
                <w:szCs w:val="28"/>
              </w:rPr>
              <w:t>日</w:t>
            </w:r>
          </w:p>
        </w:tc>
      </w:tr>
      <w:permEnd w:id="1928413070"/>
      <w:permEnd w:id="1573938271"/>
      <w:permEnd w:id="1767062397"/>
    </w:tbl>
    <w:p w14:paraId="6D33EC83" w14:textId="77777777" w:rsidR="008C10CC" w:rsidRPr="00470EA2" w:rsidRDefault="008C10CC">
      <w:pPr>
        <w:ind w:firstLine="560"/>
        <w:rPr>
          <w:rFonts w:ascii="宋体" w:hAnsi="宋体" w:hint="eastAsia"/>
          <w:sz w:val="28"/>
          <w:szCs w:val="28"/>
        </w:rPr>
      </w:pPr>
    </w:p>
    <w:p w14:paraId="7C055745" w14:textId="77777777" w:rsidR="00117889" w:rsidRDefault="003750D2" w:rsidP="00217F24">
      <w:pPr>
        <w:spacing w:beforeLines="50" w:before="120" w:afterLines="50" w:after="120" w:line="360" w:lineRule="auto"/>
        <w:ind w:firstLine="560" w:firstLineChars="0"/>
        <w:rPr>
          <w:rFonts w:ascii="楷体" w:eastAsia="楷体" w:hAnsi="宋体" w:hint="eastAsia"/>
        </w:rPr>
      </w:pPr>
      <w:r w:rsidRPr="00470EA2">
        <w:rPr>
          <w:rFonts w:ascii="Times New Roman" w:hAnsi="Times New Roman" w:cs="Times New Roman" w:eastAsia="黑体"/>
          <w:b w:val="0"/>
          <w:sz w:val="28"/>
          <w:szCs w:val="28"/>
        </w:rPr>
        <w:br w:type="page"/>
      </w:r>
      <w:r w:rsidR="00117889">
        <w:rPr>
          <w:rFonts w:ascii="Times New Roman" w:eastAsia="黑体" w:hint="eastAsia" w:hAnsi="Times New Roman" w:cs="Times New Roman"/>
          <w:b w:val="0"/>
          <w:sz w:val="28"/>
        </w:rPr>
        <w:lastRenderedPageBreak/>
        <w:t>一、</w:t>
      </w:r>
      <w:permStart w:id="220558113" w:edGrp="everyone"/>
      <w:r w:rsidR="00F71C2A">
        <w:rPr>
          <w:rFonts w:ascii="Times New Roman" w:eastAsia="黑体" w:hint="eastAsia" w:hAnsi="Times New Roman" w:cs="Times New Roman"/>
          <w:b w:val="0"/>
          <w:sz w:val="28"/>
        </w:rPr>
        <w:t>毕业论文</w:t>
      </w:r>
      <w:permEnd w:id="220558113"/>
      <w:r w:rsidR="00857EAE">
        <w:rPr>
          <w:rFonts w:ascii="Times New Roman" w:eastAsia="黑体" w:hint="eastAsia" w:hAnsi="Times New Roman" w:cs="Times New Roman"/>
          <w:b w:val="0"/>
          <w:sz w:val="28"/>
        </w:rPr>
        <w:t>课题背景</w:t>
      </w:r>
    </w:p>
    <w:p w14:paraId="26F346DF" w14:textId="77777777" w:rsidR="00241C7A" w:rsidRDefault="006323E4" w:rsidP="005F5E45">
      <w:pPr>
        <w:pStyle w:val="a6"/>
        <w:spacing w:before="120" w:after="120" w:line="360" w:lineRule="auto" w:beforeLines="50" w:afterLines="50"/>
        <w:ind w:firstLine="0" w:firstLineChars="0"/>
        <w:rPr>
          <w:sz w:val="24"/>
        </w:rPr>
      </w:pPr>
      <w:permStart w:id="1319923814" w:edGrp="everyone"/>
      <w:r>
        <w:rPr>
          <w:rFonts w:hint="eastAsia" w:ascii="Times New Roman" w:hAnsi="Times New Roman" w:cs="Times New Roman" w:eastAsia="黑体"/>
          <w:b w:val="0"/>
          <w:sz w:val="24"/>
        </w:rPr>
        <w:t>1</w:t>
      </w:r>
      <w:r w:rsidR="00C36A7B" w:rsidRPr="00914070">
        <w:rPr>
          <w:rFonts w:ascii="Times New Roman" w:hAnsi="Times New Roman" w:cs="Times New Roman" w:eastAsia="黑体"/>
          <w:b w:val="0"/>
          <w:sz w:val="24"/>
        </w:rPr>
        <w:t xml:space="preserve">． </w:t>
      </w:r>
      <w:r w:rsidR="009672BC" w:rsidRPr="00334DA9">
        <w:rPr>
          <w:rFonts w:ascii="Times New Roman" w:hAnsi="Times New Roman" w:cs="Times New Roman" w:eastAsia="黑体"/>
          <w:b w:val="0"/>
          <w:sz w:val="24"/>
        </w:rPr>
        <w:t>课题来源及研究的目的和意义</w:t>
      </w:r>
    </w:p>
    <w:p>
      <w:pPr>
        <w:pStyle w:val="a7"/>
        <w:spacing w:line="360" w:lineRule="auto" w:beforeLines="0" w:before="0" w:afterLines="0" w:after="0"/>
        <w:ind w:firstLine="480" w:firstLineChars="200"/>
      </w:pPr>
      <w:r>
        <w:rPr>
          <w:rFonts w:ascii="Times New Roman" w:hAnsi="Times New Roman" w:cs="Times New Roman" w:eastAsia="宋体"/>
          <w:b w:val="0"/>
          <w:sz w:val="24"/>
        </w:rPr>
        <w:t>随着“海洋强国”战略的深入推进，水下基础设施的安全运维对小型水下航行器的精细化作业能力提出了更高要求。《“十四五”机器人产业发展规划》</w:t>
      </w:r>
      <w:r>
        <w:rPr>
          <w:rFonts w:ascii="Times New Roman" w:hAnsi="Times New Roman" w:cs="Times New Roman" w:eastAsia="宋体"/>
          <w:b w:val="0"/>
          <w:sz w:val="24"/>
          <w:vertAlign w:val="superscript"/>
        </w:rPr>
        <w:t>[1]</w:t>
      </w:r>
      <w:r>
        <w:rPr>
          <w:rFonts w:ascii="Times New Roman" w:hAnsi="Times New Roman" w:cs="Times New Roman" w:eastAsia="宋体"/>
          <w:b w:val="0"/>
          <w:sz w:val="24"/>
        </w:rPr>
        <w:t>将水下探测、监测和作业机器人纳入特种机器人重点发展方向；《“机器人+”应用行动实施方案》</w:t>
      </w:r>
      <w:r>
        <w:rPr>
          <w:rFonts w:ascii="Times New Roman" w:hAnsi="Times New Roman" w:cs="Times New Roman" w:eastAsia="宋体"/>
          <w:b w:val="0"/>
          <w:sz w:val="24"/>
          <w:vertAlign w:val="superscript"/>
        </w:rPr>
        <w:t>[2]</w:t>
      </w:r>
      <w:r>
        <w:rPr>
          <w:rFonts w:ascii="Times New Roman" w:hAnsi="Times New Roman" w:cs="Times New Roman" w:eastAsia="宋体"/>
          <w:b w:val="0"/>
          <w:sz w:val="24"/>
        </w:rPr>
        <w:t>明确提出在海上风电场、水电站、油气管网等能源基础设施场景推广巡检与维护机器人应用。海上风电桩基、水下大坝立面及海底能源管线等大型水工设施在长期服役过程中，须在近壁面、狭小空间及水流扰动等恶劣工况下开展定期结构健康检查。相较于依赖专业潜水员或大型有缆水下装备的传统作业模式，小型遥控水下航行器（Remotely Operated Vehicle，ROV）具有部署灵活、响应迅速、可长时驻留等优势，适用于近距离精细巡检任务。然而，在近壁面复杂流场与空间约束条件下，ROV须同时满足精确悬停、快速对位观测与低速灵活机动的复合需求，这对运动控制精度与多自由度协调稳定性提出了严苛要求。</w:t>
      </w:r>
    </w:p>
    <w:p>
      <w:pPr>
        <w:pStyle w:val="a7"/>
        <w:spacing w:line="360" w:lineRule="auto" w:beforeLines="0" w:before="0" w:afterLines="0" w:after="0"/>
        <w:ind w:firstLine="480" w:firstLineChars="200"/>
      </w:pPr>
      <w:r>
        <w:rPr>
          <w:rFonts w:ascii="Times New Roman" w:hAnsi="Times New Roman" w:cs="Times New Roman" w:eastAsia="宋体"/>
          <w:b w:val="0"/>
          <w:sz w:val="24"/>
        </w:rPr>
        <w:t>为满足上述近距离精细巡检中多方向运动、位姿调整与稳定悬停的综合需求，本课题选取空间矢量布局的八推进器构型（BlueROV2 Heavy）作为研究对象。该构型通过多推进器空间协同产生任意方向的合力与力矩，为航行器的六自由度（6-DoF）全向运动控制提供了充足的执行机构基础。然而，多推进器冗余配置同时增加了动力学建模与控制分配的难度：在动力学层面，流体附加质量、水动力阻尼以及重心与浮心的空间相对位置等因素共同导致航行器平动与转动之间存在显著耦合</w:t>
      </w:r>
      <w:r>
        <w:rPr>
          <w:rFonts w:ascii="Times New Roman" w:hAnsi="Times New Roman" w:cs="Times New Roman" w:eastAsia="宋体"/>
          <w:b w:val="0"/>
          <w:sz w:val="24"/>
          <w:vertAlign w:val="superscript"/>
        </w:rPr>
        <w:t>[3]</w:t>
      </w:r>
      <w:r>
        <w:rPr>
          <w:rFonts w:ascii="Times New Roman" w:hAnsi="Times New Roman" w:cs="Times New Roman" w:eastAsia="宋体"/>
          <w:b w:val="0"/>
          <w:sz w:val="24"/>
        </w:rPr>
        <w:t>；在执行机构层面，推进器受电机功率与水下热效率制约，存在推力幅值上限，并伴有响应滞后、正反转死区等非理想特性。在近壁水流扰动工况下，若未能有效协调各推进器的输出并合理处理多维推力约束，极易发生推力饱和或控制误差激增，进而损害悬停稳定性与轨迹跟踪精度。</w:t>
      </w:r>
    </w:p>
    <w:p>
      <w:pPr>
        <w:pStyle w:val="a7"/>
        <w:spacing w:line="360" w:lineRule="auto" w:beforeLines="0" w:before="0" w:afterLines="0" w:after="0"/>
        <w:ind w:firstLine="480" w:firstLineChars="200"/>
      </w:pPr>
      <w:r>
        <w:rPr>
          <w:rFonts w:ascii="Times New Roman" w:hAnsi="Times New Roman" w:cs="Times New Roman" w:eastAsia="宋体"/>
          <w:b w:val="0"/>
          <w:sz w:val="24"/>
        </w:rPr>
        <w:t>对于上述多变量耦合、执行器受限的控制问题，常规比例—积分—微分（PID）控制因设计简洁、调试方便而被广泛应用，但分通道 PID 控制在缺乏动力学耦合补偿与推力约束协调机制的条件下，难以在多自由度精确控制与执行器幅值限制之间同时取得满意的工程效果。模型预测控制（Model Predictive Control，MPC）基于系统动力学模型进行滚动时域优化，可在优化问题中显式纳入状态约束与推力约束，为多推进器受约束协同控制提供了在原理上更为完备的技术思路，但对建模精度与嵌入式实时计算能力均提出了较高要求。此外，控制算法的工程实现还需要相应的飞控软件平台与系统级仿真验证环境。PX4 作为模块化开源飞控平台，已为部分水下航行器构型提供基础控制模式，但其水下支持仍被官方标注为实验性功能</w:t>
      </w:r>
      <w:r>
        <w:rPr>
          <w:rFonts w:ascii="Times New Roman" w:hAnsi="Times New Roman" w:cs="Times New Roman" w:eastAsia="宋体"/>
          <w:b w:val="0"/>
          <w:sz w:val="24"/>
          <w:vertAlign w:val="superscript"/>
        </w:rPr>
        <w:t>[4]</w:t>
      </w:r>
      <w:r>
        <w:rPr>
          <w:rFonts w:ascii="Times New Roman" w:hAnsi="Times New Roman" w:cs="Times New Roman" w:eastAsia="宋体"/>
          <w:b w:val="0"/>
          <w:sz w:val="24"/>
        </w:rPr>
        <w:t>，在高阶约束控制的原生支持方面存在明显缺口。因此，面向八推进器全向 ROV 的具体动力学特性与推进器约束，在 PX4 平台框架内系统研究 MPC 控制方法的适配与软件在环闭环验证，具有重要的理论探索价值与工程参考意义。</w:t>
      </w:r>
    </w:p>
    <w:p w14:paraId="4100DB2C" w14:textId="77777777" w:rsidR="00914070" w:rsidRPr="000B4F99" w:rsidRDefault="009672BC" w:rsidP="00F71C2A">
      <w:pPr>
        <w:pStyle w:val="a6"/>
        <w:tabs>
          <w:tab w:val="left" w:pos="7083"/>
        </w:tabs>
        <w:spacing w:before="120" w:after="120" w:line="360" w:lineRule="auto" w:beforeLines="50" w:afterLines="50"/>
        <w:ind w:firstLine="0" w:firstLineChars="0"/>
        <w:rPr>
          <w:rFonts w:hint="eastAsia"/>
          <w:sz w:val="24"/>
        </w:rPr>
      </w:pPr>
      <w:r w:rsidRPr="00914070">
        <w:rPr>
          <w:rFonts w:ascii="Times New Roman" w:hAnsi="Times New Roman" w:cs="Times New Roman" w:eastAsia="黑体"/>
          <w:b w:val="0"/>
          <w:sz w:val="24"/>
        </w:rPr>
        <w:t>2</w:t>
      </w:r>
      <w:r w:rsidRPr="00914070">
        <w:rPr>
          <w:rFonts w:ascii="Times New Roman" w:hAnsi="Times New Roman" w:cs="Times New Roman" w:eastAsia="黑体"/>
          <w:b w:val="0"/>
          <w:sz w:val="24"/>
        </w:rPr>
        <w:t xml:space="preserve">． </w:t>
      </w:r>
      <w:r w:rsidR="006323E4" w:rsidRPr="00914070">
        <w:rPr>
          <w:rFonts w:hint="eastAsia" w:ascii="Times New Roman" w:hAnsi="Times New Roman" w:cs="Times New Roman" w:eastAsia="黑体"/>
          <w:b w:val="0"/>
          <w:sz w:val="24"/>
        </w:rPr>
        <w:t>国内外在该方向的研究现状和发展趋势</w:t>
      </w:r>
      <w:r w:rsidR="00F71C2A">
        <w:rPr>
          <w:rFonts w:ascii="Times New Roman" w:hAnsi="Times New Roman" w:cs="Times New Roman" w:eastAsia="黑体"/>
          <w:b w:val="0"/>
          <w:sz w:val="24"/>
        </w:rPr>
      </w:r>
    </w:p>
    <w:p>
      <w:pPr>
        <w:pStyle w:val="a7"/>
        <w:spacing w:line="360" w:lineRule="auto" w:beforeLines="0" w:before="0" w:afterLines="0" w:after="0"/>
        <w:ind w:firstLine="480" w:firstLineChars="200"/>
      </w:pPr>
      <w:r>
        <w:rPr>
          <w:rFonts w:ascii="Times New Roman" w:hAnsi="Times New Roman" w:cs="Times New Roman" w:eastAsia="宋体"/>
          <w:b w:val="0"/>
          <w:sz w:val="24"/>
        </w:rPr>
        <w:t>随着水下航行器在海洋资源勘探、水下设施巡检及精细化近距离作业等领域的应用不断深化，其运动控制研究逐步由单一自由度的稳定控制向多自由度耦合、复杂环境扰动及执行器受约束条件下的高精度协同控制演进。国内外相关研究主要围绕以下三条相互支撑的技术主线展开：</w:t>
      </w:r>
      <w:r>
        <w:rPr>
          <w:rFonts w:ascii="Times New Roman" w:hAnsi="Times New Roman" w:cs="Times New Roman" w:eastAsia="宋体"/>
          <w:b/>
          <w:sz w:val="24"/>
        </w:rPr>
        <w:t>水下航行器动力学建模与参数辨识</w:t>
      </w:r>
      <w:r>
        <w:rPr>
          <w:rFonts w:ascii="Times New Roman" w:hAnsi="Times New Roman" w:cs="Times New Roman" w:eastAsia="宋体"/>
          <w:b w:val="0"/>
          <w:sz w:val="24"/>
        </w:rPr>
        <w:t>——为控制器提供精确的预测模型；</w:t>
      </w:r>
      <w:r>
        <w:rPr>
          <w:rFonts w:ascii="Times New Roman" w:hAnsi="Times New Roman" w:cs="Times New Roman" w:eastAsia="宋体"/>
          <w:b/>
          <w:sz w:val="24"/>
        </w:rPr>
        <w:t>多推进器受约束运动控制与推力分配</w:t>
      </w:r>
      <w:r>
        <w:rPr>
          <w:rFonts w:ascii="Times New Roman" w:hAnsi="Times New Roman" w:cs="Times New Roman" w:eastAsia="宋体"/>
          <w:b w:val="0"/>
          <w:sz w:val="24"/>
        </w:rPr>
        <w:t>——实现有约束条件下的最优运动决策；</w:t>
      </w:r>
      <w:r>
        <w:rPr>
          <w:rFonts w:ascii="Times New Roman" w:hAnsi="Times New Roman" w:cs="Times New Roman" w:eastAsia="宋体"/>
          <w:b/>
          <w:sz w:val="24"/>
        </w:rPr>
        <w:t>PX4 开源飞控适配与 SITL 闭环仿真验证</w:t>
      </w:r>
      <w:r>
        <w:rPr>
          <w:rFonts w:ascii="Times New Roman" w:hAnsi="Times New Roman" w:cs="Times New Roman" w:eastAsia="宋体"/>
          <w:b w:val="0"/>
          <w:sz w:val="24"/>
        </w:rPr>
        <w:t>——完成从算法设计到工程系统的可信迁移。上述三条主线分别从系统动力学描述、控制决策与执行机构协调、控制算法工程实现等层面形成了相互支撑的技术体系，共同构成本课题的研究背景。</w:t>
      </w:r>
    </w:p>
    <w:p>
      <w:pPr>
        <w:pStyle w:val="a7"/>
        <w:spacing w:line="360" w:lineRule="auto" w:beforeLines="50" w:before="120" w:afterLines="50" w:after="120"/>
        <w:ind w:firstLine="480" w:firstLineChars="200"/>
      </w:pPr>
      <w:r>
        <w:rPr>
          <w:rFonts w:ascii="Times New Roman" w:hAnsi="Times New Roman" w:cs="Times New Roman" w:eastAsia="黑体"/>
          <w:b w:val="0"/>
          <w:sz w:val="24"/>
        </w:rPr>
        <w:t>2.1 水下航行器动力学建模与参数辨识研究现状</w:t>
      </w:r>
    </w:p>
    <w:p>
      <w:pPr>
        <w:pStyle w:val="a7"/>
        <w:spacing w:line="360" w:lineRule="auto" w:beforeLines="0" w:before="0" w:afterLines="0" w:after="0"/>
        <w:ind w:firstLine="480" w:firstLineChars="200"/>
      </w:pPr>
      <w:r>
        <w:rPr>
          <w:rFonts w:ascii="Times New Roman" w:hAnsi="Times New Roman" w:cs="Times New Roman" w:eastAsia="宋体"/>
          <w:b w:val="0"/>
          <w:sz w:val="24"/>
        </w:rPr>
        <w:t>水下航行器具有多自由度耦合、非线性水动力显著及环境扰动复杂等动力学特征，其运动状态受刚体惯性、流体附加质量、水动力阻尼、浮重力恢复力矩及推进器输出等多重因素的共同制约。动力学模型的精确程度直接决定控制器的预测质量与闭环性能。现有研究已形成以六自由度机理建模为理论基础、以 CFD 数值计算与试验辨识为参数获取手段、并逐步融合数据驱动方法的发展路径。</w:t>
      </w:r>
    </w:p>
    <w:p>
      <w:pPr>
        <w:pStyle w:val="a7"/>
        <w:spacing w:line="360" w:lineRule="auto" w:beforeLines="0" w:before="0" w:afterLines="0" w:after="0"/>
        <w:ind w:firstLine="480" w:firstLineChars="200"/>
      </w:pPr>
      <w:r>
        <w:rPr>
          <w:rFonts w:ascii="Times New Roman" w:hAnsi="Times New Roman" w:cs="Times New Roman" w:eastAsia="宋体"/>
          <w:b/>
          <w:sz w:val="24"/>
        </w:rPr>
        <w:t>机理建模体系的奠基与演进。</w:t>
      </w:r>
      <w:r>
        <w:rPr>
          <w:rFonts w:ascii="Times New Roman" w:hAnsi="Times New Roman" w:cs="Times New Roman" w:eastAsia="宋体"/>
          <w:b w:val="0"/>
          <w:sz w:val="24"/>
        </w:rPr>
        <w:t xml:space="preserve"> 水下航行器动力学建模的理论体系由 Fossen 于1994年系统奠定。其经典专著</w:t>
      </w:r>
      <w:r>
        <w:rPr>
          <w:rFonts w:ascii="Times New Roman" w:hAnsi="Times New Roman" w:cs="Times New Roman" w:eastAsia="宋体"/>
          <w:b w:val="0"/>
          <w:sz w:val="24"/>
          <w:vertAlign w:val="superscript"/>
        </w:rPr>
        <w:t>[5]</w:t>
      </w:r>
      <w:r>
        <w:rPr>
          <w:rFonts w:ascii="Times New Roman" w:hAnsi="Times New Roman" w:cs="Times New Roman" w:eastAsia="宋体"/>
          <w:b w:val="0"/>
          <w:sz w:val="24"/>
        </w:rPr>
        <w:t>以牛顿—欧拉框架为基础，将六自由度 ROV/AUV 的运动方程统一表达为：</w:t>
      </w:r>
    </w:p>
    <w:p>
      <w:pPr>
        <w:pStyle w:val="a7"/>
        <w:spacing w:line="360" w:lineRule="auto" w:before="80" w:after="80"/>
        <w:ind w:firstLine="0" w:firstLineChars="0"/>
        <w:jc w:val="center"/>
      </w:pPr>
      <m:oMathPara>
        <m:oMath xmlns:mml="http://www.w3.org/1998/Math/MathML">
          <m:r>
            <m:t>M</m:t>
          </m:r>
          <m:limUpp>
            <m:e>
              <m:r>
                <m:t>ν</m:t>
              </m:r>
            </m:e>
            <m:lim>
              <m:r>
                <m:t>˙</m:t>
              </m:r>
            </m:lim>
          </m:limUpp>
          <m:r>
            <m:t>+C(ν)ν+D(ν)ν+g(η)=τ</m:t>
          </m:r>
        </m:oMath>
      </m:oMathPara>
    </w:p>
    <w:p>
      <w:pPr>
        <w:pStyle w:val="a7"/>
        <w:spacing w:line="360" w:lineRule="auto" w:beforeLines="0" w:before="0" w:afterLines="0" w:after="0"/>
        <w:ind w:firstLine="480" w:firstLineChars="200"/>
      </w:pPr>
      <w:r>
        <w:rPr>
          <w:rFonts w:ascii="Times New Roman" w:hAnsi="Times New Roman" w:cs="Times New Roman" w:eastAsia="宋体"/>
          <w:b w:val="0"/>
          <w:sz w:val="24"/>
        </w:rPr>
        <w:t>其中，</w:t>
      </w:r>
      <m:oMath xmlns:mml="http://www.w3.org/1998/Math/MathML">
        <m:r>
          <m:t>M=</m:t>
        </m:r>
        <m:sSub>
          <m:e>
            <m:r>
              <m:t>M</m:t>
            </m:r>
          </m:e>
          <m:sub>
            <m:r>
              <m:t>RB</m:t>
            </m:r>
          </m:sub>
        </m:sSub>
        <m:r>
          <m:t>+</m:t>
        </m:r>
        <m:sSub>
          <m:e>
            <m:r>
              <m:t>M</m:t>
            </m:r>
          </m:e>
          <m:sub>
            <m:r>
              <m:t>A</m:t>
            </m:r>
          </m:sub>
        </m:sSub>
        <m:r>
          <m:t>∈</m:t>
        </m:r>
        <m:sSup>
          <m:e>
            <m:r>
              <m:t>ℝ</m:t>
            </m:r>
          </m:e>
          <m:sup>
            <m:r>
              <m:t>6×6</m:t>
            </m:r>
          </m:sup>
        </m:sSup>
      </m:oMath>
      <w:r>
        <w:rPr>
          <w:rFonts w:ascii="Times New Roman" w:hAnsi="Times New Roman" w:cs="Times New Roman" w:eastAsia="宋体"/>
          <w:b w:val="0"/>
          <w:sz w:val="24"/>
        </w:rPr>
        <w:t xml:space="preserve"> 为含附加质量 </w:t>
      </w:r>
      <m:oMath xmlns:mml="http://www.w3.org/1998/Math/MathML">
        <m:sSub>
          <m:e>
            <m:r>
              <m:t>M</m:t>
            </m:r>
          </m:e>
          <m:sub>
            <m:r>
              <m:t>A</m:t>
            </m:r>
          </m:sub>
        </m:sSub>
      </m:oMath>
      <w:r>
        <w:rPr>
          <w:rFonts w:ascii="Times New Roman" w:hAnsi="Times New Roman" w:cs="Times New Roman" w:eastAsia="宋体"/>
          <w:b w:val="0"/>
          <w:sz w:val="24"/>
        </w:rPr>
        <w:t xml:space="preserve"> 的系统惯性矩阵，</w:t>
      </w:r>
      <m:oMath xmlns:mml="http://www.w3.org/1998/Math/MathML">
        <m:sSub>
          <m:e>
            <m:r>
              <m:t>M</m:t>
            </m:r>
          </m:e>
          <m:sub>
            <m:r>
              <m:t>RB</m:t>
            </m:r>
          </m:sub>
        </m:sSub>
      </m:oMath>
      <w:r>
        <w:rPr>
          <w:rFonts w:ascii="Times New Roman" w:hAnsi="Times New Roman" w:cs="Times New Roman" w:eastAsia="宋体"/>
          <w:b w:val="0"/>
          <w:sz w:val="24"/>
        </w:rPr>
        <w:t xml:space="preserve"> 为刚体质量矩阵；</w:t>
      </w:r>
      <m:oMath xmlns:mml="http://www.w3.org/1998/Math/MathML">
        <m:r>
          <m:t>C(ν)∈</m:t>
        </m:r>
        <m:sSup>
          <m:e>
            <m:r>
              <m:t>ℝ</m:t>
            </m:r>
          </m:e>
          <m:sup>
            <m:r>
              <m:t>6×6</m:t>
            </m:r>
          </m:sup>
        </m:sSup>
      </m:oMath>
      <w:r>
        <w:rPr>
          <w:rFonts w:ascii="Times New Roman" w:hAnsi="Times New Roman" w:cs="Times New Roman" w:eastAsia="宋体"/>
          <w:b w:val="0"/>
          <w:sz w:val="24"/>
        </w:rPr>
        <w:t xml:space="preserve"> 为科里奥利与向心矩阵，反映旋转运动对平动与转动的耦合惯性效应；</w:t>
      </w:r>
      <m:oMath xmlns:mml="http://www.w3.org/1998/Math/MathML">
        <m:r>
          <m:t>D(ν)∈</m:t>
        </m:r>
        <m:sSup>
          <m:e>
            <m:r>
              <m:t>ℝ</m:t>
            </m:r>
          </m:e>
          <m:sup>
            <m:r>
              <m:t>6×6</m:t>
            </m:r>
          </m:sup>
        </m:sSup>
      </m:oMath>
      <w:r>
        <w:rPr>
          <w:rFonts w:ascii="Times New Roman" w:hAnsi="Times New Roman" w:cs="Times New Roman" w:eastAsia="宋体"/>
          <w:b w:val="0"/>
          <w:sz w:val="24"/>
        </w:rPr>
        <w:t xml:space="preserve"> 为水动力阻尼矩阵，通常分解为线性阻尼项 </w:t>
      </w:r>
      <m:oMath xmlns:mml="http://www.w3.org/1998/Math/MathML">
        <m:sSub>
          <m:e>
            <m:r>
              <m:t>D</m:t>
            </m:r>
          </m:e>
          <m:sub>
            <m:r>
              <m:t>l</m:t>
            </m:r>
          </m:sub>
        </m:sSub>
      </m:oMath>
      <w:r>
        <w:rPr>
          <w:rFonts w:ascii="Times New Roman" w:hAnsi="Times New Roman" w:cs="Times New Roman" w:eastAsia="宋体"/>
          <w:b w:val="0"/>
          <w:sz w:val="24"/>
        </w:rPr>
        <w:t xml:space="preserve"> 与二次（Morison 型）阻尼项 </w:t>
      </w:r>
      <m:oMath xmlns:mml="http://www.w3.org/1998/Math/MathML">
        <m:sSub>
          <m:e>
            <m:r>
              <m:t>D</m:t>
            </m:r>
          </m:e>
          <m:sub>
            <m:r>
              <m:t>q</m:t>
            </m:r>
          </m:sub>
        </m:sSub>
        <m:r>
          <m:t>(ν)</m:t>
        </m:r>
      </m:oMath>
      <w:r>
        <w:rPr>
          <w:rFonts w:ascii="Times New Roman" w:hAnsi="Times New Roman" w:cs="Times New Roman" w:eastAsia="宋体"/>
          <w:b w:val="0"/>
          <w:sz w:val="24"/>
        </w:rPr>
        <w:t xml:space="preserve">，即 </w:t>
      </w:r>
      <m:oMath xmlns:mml="http://www.w3.org/1998/Math/MathML">
        <m:r>
          <m:t>D(ν)=</m:t>
        </m:r>
        <m:sSub>
          <m:e>
            <m:r>
              <m:t>D</m:t>
            </m:r>
          </m:e>
          <m:sub>
            <m:r>
              <m:t>l</m:t>
            </m:r>
          </m:sub>
        </m:sSub>
        <m:r>
          <m:t>+</m:t>
        </m:r>
        <m:sSub>
          <m:e>
            <m:r>
              <m:t>D</m:t>
            </m:r>
          </m:e>
          <m:sub>
            <m:r>
              <m:t>q</m:t>
            </m:r>
          </m:sub>
        </m:sSub>
        <m:r>
          <m:t>(ν)</m:t>
        </m:r>
      </m:oMath>
      <w:r>
        <w:rPr>
          <w:rFonts w:ascii="Times New Roman" w:hAnsi="Times New Roman" w:cs="Times New Roman" w:eastAsia="宋体"/>
          <w:b w:val="0"/>
          <w:sz w:val="24"/>
        </w:rPr>
        <w:t>；</w:t>
      </w:r>
      <m:oMath xmlns:mml="http://www.w3.org/1998/Math/MathML">
        <m:r>
          <m:t>g(η)∈</m:t>
        </m:r>
        <m:sSup>
          <m:e>
            <m:r>
              <m:t>ℝ</m:t>
            </m:r>
          </m:e>
          <m:sup>
            <m:r>
              <m:t>6</m:t>
            </m:r>
          </m:sup>
        </m:sSup>
      </m:oMath>
      <w:r>
        <w:rPr>
          <w:rFonts w:ascii="Times New Roman" w:hAnsi="Times New Roman" w:cs="Times New Roman" w:eastAsia="宋体"/>
          <w:b w:val="0"/>
          <w:sz w:val="24"/>
        </w:rPr>
        <w:t xml:space="preserve"> 为静水恢复力向量，由重力与浮力之差及其作用点的空间偏置共同决定；</w:t>
      </w:r>
      <m:oMath xmlns:mml="http://www.w3.org/1998/Math/MathML">
        <m:r>
          <m:t>τ∈</m:t>
        </m:r>
        <m:sSup>
          <m:e>
            <m:r>
              <m:t>ℝ</m:t>
            </m:r>
          </m:e>
          <m:sup>
            <m:r>
              <m:t>6</m:t>
            </m:r>
          </m:sup>
        </m:sSup>
      </m:oMath>
      <w:r>
        <w:rPr>
          <w:rFonts w:ascii="Times New Roman" w:hAnsi="Times New Roman" w:cs="Times New Roman" w:eastAsia="宋体"/>
          <w:b w:val="0"/>
          <w:sz w:val="24"/>
        </w:rPr>
        <w:t xml:space="preserve"> 为广义推进力与力矩向量；</w:t>
      </w:r>
      <m:oMath xmlns:mml="http://www.w3.org/1998/Math/MathML">
        <m:r>
          <m:t>ν=[u,v,w,p,q,r</m:t>
        </m:r>
        <m:sSup>
          <m:e>
            <m:r>
              <m:t>]</m:t>
            </m:r>
          </m:e>
          <m:sup>
            <m:r>
              <m:t>T</m:t>
            </m:r>
          </m:sup>
        </m:sSup>
      </m:oMath>
      <w:r>
        <w:rPr>
          <w:rFonts w:ascii="Times New Roman" w:hAnsi="Times New Roman" w:cs="Times New Roman" w:eastAsia="宋体"/>
          <w:b w:val="0"/>
          <w:sz w:val="24"/>
        </w:rPr>
        <w:t xml:space="preserve"> 为体坐标系下的线速度与角速度向量；</w:t>
      </w:r>
      <m:oMath xmlns:mml="http://www.w3.org/1998/Math/MathML">
        <m:r>
          <m:t>η</m:t>
        </m:r>
      </m:oMath>
      <w:r>
        <w:rPr>
          <w:rFonts w:ascii="Times New Roman" w:hAnsi="Times New Roman" w:cs="Times New Roman" w:eastAsia="宋体"/>
          <w:b w:val="0"/>
          <w:sz w:val="24"/>
        </w:rPr>
        <w:t xml:space="preserve"> 为惯性系位姿状态向量。该方程框架构成了此后数十年机理建模研究的共同范式。国内学者严卫生等</w:t>
      </w:r>
      <w:r>
        <w:rPr>
          <w:rFonts w:ascii="Times New Roman" w:hAnsi="Times New Roman" w:cs="Times New Roman" w:eastAsia="宋体"/>
          <w:b w:val="0"/>
          <w:sz w:val="24"/>
          <w:vertAlign w:val="superscript"/>
        </w:rPr>
        <w:t>[6]</w:t>
      </w:r>
      <w:r>
        <w:rPr>
          <w:rFonts w:ascii="Times New Roman" w:hAnsi="Times New Roman" w:cs="Times New Roman" w:eastAsia="宋体"/>
          <w:b w:val="0"/>
          <w:sz w:val="24"/>
        </w:rPr>
        <w:t>在此基础上进一步完善了深海 AUV 的六自由度运动方程及其空间耦合分析方法，形成了系统的中文理论体系。</w:t>
      </w:r>
    </w:p>
    <w:p>
      <w:pPr>
        <w:pStyle w:val="a7"/>
        <w:spacing w:line="360" w:lineRule="auto" w:beforeLines="0" w:before="0" w:afterLines="0" w:after="0"/>
        <w:ind w:firstLine="480" w:firstLineChars="200"/>
      </w:pPr>
      <w:r>
        <w:rPr>
          <w:rFonts w:ascii="Times New Roman" w:hAnsi="Times New Roman" w:cs="Times New Roman" w:eastAsia="宋体"/>
          <w:b w:val="0"/>
          <w:sz w:val="24"/>
        </w:rPr>
        <w:t>在机理模型的具体化方面，Prestero</w:t>
      </w:r>
      <w:r>
        <w:rPr>
          <w:rFonts w:ascii="Times New Roman" w:hAnsi="Times New Roman" w:cs="Times New Roman" w:eastAsia="宋体"/>
          <w:b w:val="0"/>
          <w:sz w:val="24"/>
          <w:vertAlign w:val="superscript"/>
        </w:rPr>
        <w:t>[7]</w:t>
      </w:r>
      <w:r>
        <w:rPr>
          <w:rFonts w:ascii="Times New Roman" w:hAnsi="Times New Roman" w:cs="Times New Roman" w:eastAsia="宋体"/>
          <w:b w:val="0"/>
          <w:sz w:val="24"/>
        </w:rPr>
        <w:t>针对 REMUS 100 型 AUV 建立了六自由度非线性仿真模型并完成实验校验；Caccia 等</w:t>
      </w:r>
      <w:r>
        <w:rPr>
          <w:rFonts w:ascii="Times New Roman" w:hAnsi="Times New Roman" w:cs="Times New Roman" w:eastAsia="宋体"/>
          <w:b w:val="0"/>
          <w:sz w:val="24"/>
          <w:vertAlign w:val="superscript"/>
        </w:rPr>
        <w:t>[8]</w:t>
      </w:r>
      <w:r>
        <w:rPr>
          <w:rFonts w:ascii="Times New Roman" w:hAnsi="Times New Roman" w:cs="Times New Roman" w:eastAsia="宋体"/>
          <w:b w:val="0"/>
          <w:sz w:val="24"/>
        </w:rPr>
        <w:t>针对开架式可变构型 ROV 建立了含推进器—艇体流体相互作用的集中参数动力学模型，揭示了推进器安装特性对运动响应的影响机制；Smallwood 与 Whitcomb</w:t>
      </w:r>
      <w:r>
        <w:rPr>
          <w:rFonts w:ascii="Times New Roman" w:hAnsi="Times New Roman" w:cs="Times New Roman" w:eastAsia="宋体"/>
          <w:b w:val="0"/>
          <w:sz w:val="24"/>
          <w:vertAlign w:val="superscript"/>
        </w:rPr>
        <w:t>[9]</w:t>
      </w:r>
      <w:r>
        <w:rPr>
          <w:rFonts w:ascii="Times New Roman" w:hAnsi="Times New Roman" w:cs="Times New Roman" w:eastAsia="宋体"/>
          <w:b w:val="0"/>
          <w:sz w:val="24"/>
        </w:rPr>
        <w:t>则进一步结合水下机器人动力定位实验研究了基于模型的运动控制方法，彰显了精确动力学模型在低速精确定位与多轴协调控制中的核心价值。von Benzon 等</w:t>
      </w:r>
      <w:r>
        <w:rPr>
          <w:rFonts w:ascii="Times New Roman" w:hAnsi="Times New Roman" w:cs="Times New Roman" w:eastAsia="宋体"/>
          <w:b w:val="0"/>
          <w:sz w:val="24"/>
          <w:vertAlign w:val="superscript"/>
        </w:rPr>
        <w:t>[10]</w:t>
      </w:r>
      <w:r>
        <w:rPr>
          <w:rFonts w:ascii="Times New Roman" w:hAnsi="Times New Roman" w:cs="Times New Roman" w:eastAsia="宋体"/>
          <w:b w:val="0"/>
          <w:sz w:val="24"/>
        </w:rPr>
        <w:t>基于 Fossen 动力学框架构建了 BlueROV2 开源仿真基准模型，综合考虑水动力、推进器动态、浮重力、水流及系缆作用，并通过实验对部分水动力参数进行了校验，为本研究领域提供了重要的公开基准平台。上述成果共同揭示了机理建模的核心矛盾：理论模型所需的水动力系数（附加质量、线性/二次阻尼、交叉耦合项）在解析层面难以精确获取，各参数不确定性对控制性能的影响程度差异显著。</w:t>
      </w:r>
    </w:p>
    <w:p>
      <w:pPr>
        <w:pStyle w:val="a7"/>
        <w:spacing w:line="360" w:lineRule="auto" w:beforeLines="0" w:before="0" w:afterLines="0" w:after="0"/>
        <w:ind w:firstLine="480" w:firstLineChars="200"/>
      </w:pPr>
      <w:r>
        <w:rPr>
          <w:rFonts w:ascii="Times New Roman" w:hAnsi="Times New Roman" w:cs="Times New Roman" w:eastAsia="宋体"/>
          <w:b/>
          <w:sz w:val="24"/>
        </w:rPr>
        <w:t>水动力参数获取：CFD 数值计算与水池系统辨识。</w:t>
      </w:r>
      <w:r>
        <w:rPr>
          <w:rFonts w:ascii="Times New Roman" w:hAnsi="Times New Roman" w:cs="Times New Roman" w:eastAsia="宋体"/>
          <w:b w:val="0"/>
          <w:sz w:val="24"/>
        </w:rPr>
        <w:t xml:space="preserve"> 针对水动力系数的精确获取，学界形成了两条并行的技术路线，各有其适用边界与精度局限。</w:t>
      </w:r>
    </w:p>
    <w:p>
      <w:pPr>
        <w:pStyle w:val="a7"/>
        <w:spacing w:line="360" w:lineRule="auto" w:beforeLines="0" w:before="0" w:afterLines="0" w:after="0"/>
        <w:ind w:firstLine="480" w:firstLineChars="200"/>
      </w:pPr>
      <w:r>
        <w:rPr>
          <w:rFonts w:ascii="Times New Roman" w:hAnsi="Times New Roman" w:cs="Times New Roman" w:eastAsia="宋体"/>
          <w:b/>
          <w:sz w:val="24"/>
        </w:rPr>
        <w:t>CFD 数值计算路线：</w:t>
      </w:r>
      <w:r>
        <w:rPr>
          <w:rFonts w:ascii="Times New Roman" w:hAnsi="Times New Roman" w:cs="Times New Roman" w:eastAsia="宋体"/>
          <w:b w:val="0"/>
          <w:sz w:val="24"/>
        </w:rPr>
        <w:t xml:space="preserve"> von Benzon 等</w:t>
      </w:r>
      <w:r>
        <w:rPr>
          <w:rFonts w:ascii="Times New Roman" w:hAnsi="Times New Roman" w:cs="Times New Roman" w:eastAsia="宋体"/>
          <w:b w:val="0"/>
          <w:sz w:val="24"/>
          <w:vertAlign w:val="superscript"/>
        </w:rPr>
        <w:t>[10]</w:t>
      </w:r>
      <w:r>
        <w:rPr>
          <w:rFonts w:ascii="Times New Roman" w:hAnsi="Times New Roman" w:cs="Times New Roman" w:eastAsia="宋体"/>
          <w:b w:val="0"/>
          <w:sz w:val="24"/>
        </w:rPr>
        <w:t>基于 OpenFOAM 对 BlueROV2 实施了全尺度 CFD 仿真，系统提取了各自由度的附加质量与阻尼矩阵；高婷等</w:t>
      </w:r>
      <w:r>
        <w:rPr>
          <w:rFonts w:ascii="Times New Roman" w:hAnsi="Times New Roman" w:cs="Times New Roman" w:eastAsia="宋体"/>
          <w:b w:val="0"/>
          <w:sz w:val="24"/>
          <w:vertAlign w:val="superscript"/>
        </w:rPr>
        <w:t>[11]</w:t>
      </w:r>
      <w:r>
        <w:rPr>
          <w:rFonts w:ascii="Times New Roman" w:hAnsi="Times New Roman" w:cs="Times New Roman" w:eastAsia="宋体"/>
          <w:b w:val="0"/>
          <w:sz w:val="24"/>
        </w:rPr>
        <w:t>采用 ANSYS-Fluent 对某型 ROV 推进器在不同转速—入流角组合下的推力特性进行了精细数值建模。CFD 方法的优势在于可在装备制造前完成参数预估，且对复杂几何外形具有良好的适应性；其局限性在于湍流模型假设与实际雷诺数工况之间的匹配误差，以及在不规则波浪—流场耦合场景下模型外推的可靠性有待评估。</w:t>
      </w:r>
    </w:p>
    <w:p>
      <w:pPr>
        <w:pStyle w:val="a7"/>
        <w:spacing w:line="360" w:lineRule="auto" w:beforeLines="0" w:before="0" w:afterLines="0" w:after="0"/>
        <w:ind w:firstLine="480" w:firstLineChars="200"/>
      </w:pPr>
      <w:r>
        <w:rPr>
          <w:rFonts w:ascii="Times New Roman" w:hAnsi="Times New Roman" w:cs="Times New Roman" w:eastAsia="宋体"/>
          <w:b/>
          <w:sz w:val="24"/>
        </w:rPr>
        <w:t>水池试验系统辨识路线：</w:t>
      </w:r>
      <w:r>
        <w:rPr>
          <w:rFonts w:ascii="Times New Roman" w:hAnsi="Times New Roman" w:cs="Times New Roman" w:eastAsia="宋体"/>
          <w:b w:val="0"/>
          <w:sz w:val="24"/>
        </w:rPr>
        <w:t xml:space="preserve"> Chin 与 Lau</w:t>
      </w:r>
      <w:r>
        <w:rPr>
          <w:rFonts w:ascii="Times New Roman" w:hAnsi="Times New Roman" w:cs="Times New Roman" w:eastAsia="宋体"/>
          <w:b w:val="0"/>
          <w:sz w:val="24"/>
          <w:vertAlign w:val="superscript"/>
        </w:rPr>
        <w:t>[12]</w:t>
      </w:r>
      <w:r>
        <w:rPr>
          <w:rFonts w:ascii="Times New Roman" w:hAnsi="Times New Roman" w:cs="Times New Roman" w:eastAsia="宋体"/>
          <w:b w:val="0"/>
          <w:sz w:val="24"/>
        </w:rPr>
        <w:t>采用频域辨识方法，通过受控激励试验提取 AUV 的纵倾水动力阻尼参数；Ross 等</w:t>
      </w:r>
      <w:r>
        <w:rPr>
          <w:rFonts w:ascii="Times New Roman" w:hAnsi="Times New Roman" w:cs="Times New Roman" w:eastAsia="宋体"/>
          <w:b w:val="0"/>
          <w:sz w:val="24"/>
          <w:vertAlign w:val="superscript"/>
        </w:rPr>
        <w:t>[13]</w:t>
      </w:r>
      <w:r>
        <w:rPr>
          <w:rFonts w:ascii="Times New Roman" w:hAnsi="Times New Roman" w:cs="Times New Roman" w:eastAsia="宋体"/>
          <w:b w:val="0"/>
          <w:sz w:val="24"/>
        </w:rPr>
        <w:t>将扩展卡尔曼滤波（EKF）在线辨识与离线批处理辨识联合应用，实现了 AUV 运动参数的实时递推估计；Avila 与 Adamowski</w:t>
      </w:r>
      <w:r>
        <w:rPr>
          <w:rFonts w:ascii="Times New Roman" w:hAnsi="Times New Roman" w:cs="Times New Roman" w:eastAsia="宋体"/>
          <w:b w:val="0"/>
          <w:sz w:val="24"/>
          <w:vertAlign w:val="superscript"/>
        </w:rPr>
        <w:t>[14]</w:t>
      </w:r>
      <w:r>
        <w:rPr>
          <w:rFonts w:ascii="Times New Roman" w:hAnsi="Times New Roman" w:cs="Times New Roman" w:eastAsia="宋体"/>
          <w:b w:val="0"/>
          <w:sz w:val="24"/>
        </w:rPr>
        <w:t>则对类球型开架式 ROV 进行了六自由度耦合参数的系统辨识实验。受限于水池设施的尺度效应以及自由度激励完备性的约束，水池辨识所获参数在实际海洋工况下存在一定的外推不确定性。Harris 等</w:t>
      </w:r>
      <w:r>
        <w:rPr>
          <w:rFonts w:ascii="Times New Roman" w:hAnsi="Times New Roman" w:cs="Times New Roman" w:eastAsia="宋体"/>
          <w:b w:val="0"/>
          <w:sz w:val="24"/>
          <w:vertAlign w:val="superscript"/>
        </w:rPr>
        <w:t>[15]</w:t>
      </w:r>
      <w:r>
        <w:rPr>
          <w:rFonts w:ascii="Times New Roman" w:hAnsi="Times New Roman" w:cs="Times New Roman" w:eastAsia="宋体"/>
          <w:b w:val="0"/>
          <w:sz w:val="24"/>
        </w:rPr>
        <w:t>的研究进一步揭示，推进器非线性推力—电流关系、螺旋桨空化效应等因素会系统性地影响整体模型精度，仅依赖线性化假设的参数辨识难以全面覆盖这些非线性效应。</w:t>
      </w:r>
    </w:p>
    <w:p>
      <w:pPr>
        <w:pStyle w:val="a7"/>
        <w:spacing w:line="360" w:lineRule="auto" w:beforeLines="0" w:before="0" w:afterLines="0" w:after="0"/>
        <w:ind w:firstLine="480" w:firstLineChars="200"/>
      </w:pPr>
      <w:r>
        <w:rPr>
          <w:rFonts w:ascii="Times New Roman" w:hAnsi="Times New Roman" w:cs="Times New Roman" w:eastAsia="宋体"/>
          <w:b/>
          <w:sz w:val="24"/>
        </w:rPr>
        <w:t>数据驱动与物理引导灰箱建模：前沿进展与底层机理。</w:t>
      </w:r>
      <w:r>
        <w:rPr>
          <w:rFonts w:ascii="Times New Roman" w:hAnsi="Times New Roman" w:cs="Times New Roman" w:eastAsia="宋体"/>
          <w:b w:val="0"/>
          <w:sz w:val="24"/>
        </w:rPr>
        <w:t xml:space="preserve"> 随着传感技术与科学机器学习的快速发展，数据驱动与物理机理融合的“灰箱建模”（gray-box modeling）范式在水下机器人领域持续获得关注，形成了若干具有代表性的前沿路线，其底层机理各有侧重。</w:t>
      </w:r>
    </w:p>
    <w:p>
      <w:pPr>
        <w:pStyle w:val="a7"/>
        <w:spacing w:line="360" w:lineRule="auto" w:beforeLines="0" w:before="0" w:afterLines="0" w:after="0"/>
        <w:ind w:firstLine="480" w:firstLineChars="200"/>
      </w:pPr>
      <w:r>
        <w:rPr>
          <w:rFonts w:ascii="Times New Roman" w:hAnsi="Times New Roman" w:cs="Times New Roman" w:eastAsia="宋体"/>
          <w:b/>
          <w:sz w:val="24"/>
        </w:rPr>
        <w:t>稀疏辨识动力学（SINDy）：</w:t>
      </w:r>
      <w:r>
        <w:rPr>
          <w:rFonts w:ascii="Times New Roman" w:hAnsi="Times New Roman" w:cs="Times New Roman" w:eastAsia="宋体"/>
          <w:b w:val="0"/>
          <w:sz w:val="24"/>
        </w:rPr>
        <w:t xml:space="preserve"> Brunton 等</w:t>
      </w:r>
      <w:r>
        <w:rPr>
          <w:rFonts w:ascii="Times New Roman" w:hAnsi="Times New Roman" w:cs="Times New Roman" w:eastAsia="宋体"/>
          <w:b w:val="0"/>
          <w:sz w:val="24"/>
          <w:vertAlign w:val="superscript"/>
        </w:rPr>
        <w:t>[16]</w:t>
      </w:r>
      <w:r>
        <w:rPr>
          <w:rFonts w:ascii="Times New Roman" w:hAnsi="Times New Roman" w:cs="Times New Roman" w:eastAsia="宋体"/>
          <w:b w:val="0"/>
          <w:sz w:val="24"/>
        </w:rPr>
        <w:t xml:space="preserve">提出的稀疏非线性动力学辨识方法（Sparse Identification of Nonlinear Dynamics，SINDy），通过构建候选非线性函数库并施加 </w:t>
      </w:r>
      <m:oMath xmlns:mml="http://www.w3.org/1998/Math/MathML">
        <m:sSub>
          <m:e>
            <m:r>
              <m:t>ℓ</m:t>
            </m:r>
          </m:e>
          <m:sub>
            <m:r>
              <m:t>1</m:t>
            </m:r>
          </m:sub>
        </m:sSub>
      </m:oMath>
      <w:r>
        <w:rPr>
          <w:rFonts w:ascii="Times New Roman" w:hAnsi="Times New Roman" w:cs="Times New Roman" w:eastAsia="宋体"/>
          <w:b w:val="0"/>
          <w:sz w:val="24"/>
        </w:rPr>
        <w:t xml:space="preserve"> 稀疏回归，直接从时序测量数据中提取具有显式物理意义的稀疏微分方程结构。其核心价值在于：辨识结果保持符号可解释性，所获方程可直接嵌入基于模型的控制器设计，并对未见工况具有一定的外推泛化能力。在水动力系统辨识中，SINDy 框架能够将阻尼项的多项式结构（如 </w:t>
      </w:r>
      <m:oMath xmlns:mml="http://www.w3.org/1998/Math/MathML">
        <m:r>
          <m:t>D(ν)ν=</m:t>
        </m:r>
        <m:sSub>
          <m:e>
            <m:r>
              <m:t>D</m:t>
            </m:r>
          </m:e>
          <m:sub>
            <m:r>
              <m:t>l</m:t>
            </m:r>
          </m:sub>
        </m:sSub>
        <m:r>
          <m:t>ν+</m:t>
        </m:r>
        <m:sSub>
          <m:e>
            <m:r>
              <m:t>D</m:t>
            </m:r>
          </m:e>
          <m:sub>
            <m:r>
              <m:t>q</m:t>
            </m:r>
          </m:sub>
        </m:sSub>
        <m:r>
          <m:t>(ν)ν</m:t>
        </m:r>
      </m:oMath>
      <w:r>
        <w:rPr>
          <w:rFonts w:ascii="Times New Roman" w:hAnsi="Times New Roman" w:cs="Times New Roman" w:eastAsia="宋体"/>
          <w:b w:val="0"/>
          <w:sz w:val="24"/>
        </w:rPr>
        <w:t>）与 Fossen 标准方程自然对齐，从而在数据驱动辨识与机理模型之间建立结构性桥接。其主要挑战在于候选函数库的先验选择对辨识结果的敏感性，以及在高维强耦合系统中候选项共线性带来的稳定性问题。</w:t>
      </w:r>
    </w:p>
    <w:p>
      <w:pPr>
        <w:pStyle w:val="a7"/>
        <w:spacing w:line="360" w:lineRule="auto" w:beforeLines="0" w:before="0" w:afterLines="0" w:after="0"/>
        <w:ind w:firstLine="480" w:firstLineChars="200"/>
      </w:pPr>
      <w:r>
        <w:rPr>
          <w:rFonts w:ascii="Times New Roman" w:hAnsi="Times New Roman" w:cs="Times New Roman" w:eastAsia="宋体"/>
          <w:b/>
          <w:sz w:val="24"/>
        </w:rPr>
        <w:t>物理信息神经网络（PINN）：</w:t>
      </w:r>
      <w:r>
        <w:rPr>
          <w:rFonts w:ascii="Times New Roman" w:hAnsi="Times New Roman" w:cs="Times New Roman" w:eastAsia="宋体"/>
          <w:b w:val="0"/>
          <w:sz w:val="24"/>
        </w:rPr>
        <w:t xml:space="preserve"> Raissi 等</w:t>
      </w:r>
      <w:r>
        <w:rPr>
          <w:rFonts w:ascii="Times New Roman" w:hAnsi="Times New Roman" w:cs="Times New Roman" w:eastAsia="宋体"/>
          <w:b w:val="0"/>
          <w:sz w:val="24"/>
          <w:vertAlign w:val="superscript"/>
        </w:rPr>
        <w:t>[17]</w:t>
      </w:r>
      <w:r>
        <w:rPr>
          <w:rFonts w:ascii="Times New Roman" w:hAnsi="Times New Roman" w:cs="Times New Roman" w:eastAsia="宋体"/>
          <w:b w:val="0"/>
          <w:sz w:val="24"/>
        </w:rPr>
        <w:t>将偏微分方程物理残差直接嵌入神经网络的损失函数，使网络在拟合观测数据的同时遵从物理守恒律约束。PINN 在水下航行器建模中的潜在优势在于：能够在稀疏数据条件下利用动力学方程约束抑制过拟合，并可在部分可观测场景（如深度传感器缺失工况）下通过物理约束推断隐态。Liu 等</w:t>
      </w:r>
      <w:r>
        <w:rPr>
          <w:rFonts w:ascii="Times New Roman" w:hAnsi="Times New Roman" w:cs="Times New Roman" w:eastAsia="宋体"/>
          <w:b w:val="0"/>
          <w:sz w:val="24"/>
          <w:vertAlign w:val="superscript"/>
        </w:rPr>
        <w:t>[19]</w:t>
      </w:r>
      <w:r>
        <w:rPr>
          <w:rFonts w:ascii="Times New Roman" w:hAnsi="Times New Roman" w:cs="Times New Roman" w:eastAsia="宋体"/>
          <w:b w:val="0"/>
          <w:sz w:val="24"/>
        </w:rPr>
        <w:t xml:space="preserve">的研究表明，此类物理引导的方法在水动力流场重构中可显著降低数据需求量。然而，PINN 在处理硬性不等式约束（如推力饱和 </w:t>
      </w:r>
      <m:oMath xmlns:mml="http://www.w3.org/1998/Math/MathML">
        <m:sSub>
          <m:e>
            <m:r>
              <m:t>u</m:t>
            </m:r>
          </m:e>
          <m:sub>
            <m:r>
              <m:t>min</m:t>
            </m:r>
          </m:sub>
        </m:sSub>
        <m:r>
          <m:t>≤u≤</m:t>
        </m:r>
        <m:sSub>
          <m:e>
            <m:r>
              <m:t>u</m:t>
            </m:r>
          </m:e>
          <m:sub>
            <m:r>
              <m:t>max</m:t>
            </m:r>
          </m:sub>
        </m:sSub>
      </m:oMath>
      <w:r>
        <w:rPr>
          <w:rFonts w:ascii="Times New Roman" w:hAnsi="Times New Roman" w:cs="Times New Roman" w:eastAsia="宋体"/>
          <w:b w:val="0"/>
          <w:sz w:val="24"/>
        </w:rPr>
        <w:t>）时须借助软约束惩罚设计，且物理守恒律约束项与推力饱和硬约束项之间存在梯度权重冲突，训练过程对学习率与物理损失权重超参数高度敏感，工程鲁棒性仍是开放问题。</w:t>
      </w:r>
    </w:p>
    <w:p>
      <w:pPr>
        <w:pStyle w:val="a7"/>
        <w:spacing w:line="360" w:lineRule="auto" w:beforeLines="0" w:before="0" w:afterLines="0" w:after="0"/>
        <w:ind w:firstLine="480" w:firstLineChars="200"/>
      </w:pPr>
      <w:r>
        <w:rPr>
          <w:rFonts w:ascii="Times New Roman" w:hAnsi="Times New Roman" w:cs="Times New Roman" w:eastAsia="宋体"/>
          <w:b/>
          <w:sz w:val="24"/>
        </w:rPr>
        <w:t>神经常微分方程（Neural ODE）：</w:t>
      </w:r>
      <w:r>
        <w:rPr>
          <w:rFonts w:ascii="Times New Roman" w:hAnsi="Times New Roman" w:cs="Times New Roman" w:eastAsia="宋体"/>
          <w:b w:val="0"/>
          <w:sz w:val="24"/>
        </w:rPr>
        <w:t xml:space="preserve"> Chen 等</w:t>
      </w:r>
      <w:r>
        <w:rPr>
          <w:rFonts w:ascii="Times New Roman" w:hAnsi="Times New Roman" w:cs="Times New Roman" w:eastAsia="宋体"/>
          <w:b w:val="0"/>
          <w:sz w:val="24"/>
          <w:vertAlign w:val="superscript"/>
        </w:rPr>
        <w:t>[18]</w:t>
      </w:r>
      <w:r>
        <w:rPr>
          <w:rFonts w:ascii="Times New Roman" w:hAnsi="Times New Roman" w:cs="Times New Roman" w:eastAsia="宋体"/>
          <w:b w:val="0"/>
          <w:sz w:val="24"/>
        </w:rPr>
        <w:t>提出以连续深度神经网络参数化动力学演化的微分方程右端项，通过伴随方程方法进行高效梯度回传训练，将系统状态演化表述为：</w:t>
      </w:r>
      <m:oMath xmlns:mml="http://www.w3.org/1998/Math/MathML">
        <m:limUpp>
          <m:e>
            <m:r>
              <m:t>ν</m:t>
            </m:r>
          </m:e>
          <m:lim>
            <m:r>
              <m:t>˙</m:t>
            </m:r>
          </m:lim>
        </m:limUpp>
        <m:r>
          <m:t>=</m:t>
        </m:r>
        <m:sSub>
          <m:e>
            <m:r>
              <m:t>f</m:t>
            </m:r>
          </m:e>
          <m:sub>
            <m:r>
              <m:t>θ</m:t>
            </m:r>
          </m:sub>
        </m:sSub>
        <m:r>
          <m:t>(ν,τ,t)</m:t>
        </m:r>
      </m:oMath>
      <w:r>
        <w:rPr>
          <w:rFonts w:ascii="Times New Roman" w:hAnsi="Times New Roman" w:cs="Times New Roman" w:eastAsia="宋体"/>
          <w:b w:val="0"/>
          <w:sz w:val="24"/>
        </w:rPr>
        <w:t xml:space="preserve">，其中 </w:t>
      </w:r>
      <m:oMath xmlns:mml="http://www.w3.org/1998/Math/MathML">
        <m:sSub>
          <m:e>
            <m:r>
              <m:t>f</m:t>
            </m:r>
          </m:e>
          <m:sub>
            <m:r>
              <m:t>θ</m:t>
            </m:r>
          </m:sub>
        </m:sSub>
      </m:oMath>
      <w:r>
        <w:rPr>
          <w:rFonts w:ascii="Times New Roman" w:hAnsi="Times New Roman" w:cs="Times New Roman" w:eastAsia="宋体"/>
          <w:b w:val="0"/>
          <w:sz w:val="24"/>
        </w:rPr>
        <w:t xml:space="preserve"> 为神经网络参数化函数。相较于离散递归网络，Neural ODE 在理论上保证了状态轨迹的连续性，并能直接在非均匀时间采样数据上训练，与水下 ROV 多传感器（IMU/DVL/深度计）异步采样的实际情形高度契合。然而，Neural ODE 在多步滚动预测中存在累积误差传播问题——每步数值积分的局部误差在预测时域 </w:t>
      </w:r>
      <m:oMath xmlns:mml="http://www.w3.org/1998/Math/MathML">
        <m:r>
          <m:t>N</m:t>
        </m:r>
      </m:oMath>
      <w:r>
        <w:rPr>
          <w:rFonts w:ascii="Times New Roman" w:hAnsi="Times New Roman" w:cs="Times New Roman" w:eastAsia="宋体"/>
          <w:b w:val="0"/>
          <w:sz w:val="24"/>
        </w:rPr>
        <w:t xml:space="preserve"> 内以指数速率叠加，导致长时域预测精度快速劣化；此外，其在嵌入式计算平台上的实时推理时延制约了其在高频控制闭环中的直接部署。</w:t>
      </w:r>
    </w:p>
    <w:p>
      <w:pPr>
        <w:pStyle w:val="a7"/>
        <w:spacing w:line="360" w:lineRule="auto" w:beforeLines="0" w:before="0" w:afterLines="0" w:after="0"/>
        <w:ind w:firstLine="480" w:firstLineChars="200"/>
      </w:pPr>
      <w:r>
        <w:rPr>
          <w:rFonts w:ascii="Times New Roman" w:hAnsi="Times New Roman" w:cs="Times New Roman" w:eastAsia="宋体"/>
          <w:b w:val="0"/>
          <w:sz w:val="24"/>
        </w:rPr>
        <w:t>综合来看，上述三类方法构成了当前“物理引导数据驱动”建模的主流前沿路线。机理建模具有物理可解释性强、服务于基于模型控制器设计的天然优势，但精度受限于水动力系数获取的代价与不确定性；纯数据驱动模型具有强拟合能力，但在训练覆盖不足工况下的泛化稳定性有待保证；物理引导灰箱建模在物理一致性与数据拟合灵活性之间形成互补，是兼顾预测精度与可解释性的核心范式，代表了当前水下航行器建模研究的主要演进方向。</w:t>
      </w:r>
    </w:p>
    <w:p>
      <w:pPr>
        <w:pStyle w:val="a7"/>
        <w:spacing w:line="360" w:lineRule="auto" w:beforeLines="50" w:before="120" w:afterLines="50" w:after="120"/>
        <w:ind w:firstLine="480" w:firstLineChars="200"/>
      </w:pPr>
      <w:r>
        <w:rPr>
          <w:rFonts w:ascii="Times New Roman" w:hAnsi="Times New Roman" w:cs="Times New Roman" w:eastAsia="黑体"/>
          <w:b w:val="0"/>
          <w:sz w:val="24"/>
        </w:rPr>
        <w:t>2.2 多推进器受约束运动控制与推力分配研究现状</w:t>
      </w:r>
    </w:p>
    <w:p>
      <w:pPr>
        <w:pStyle w:val="a7"/>
        <w:spacing w:line="360" w:lineRule="auto" w:beforeLines="0" w:before="0" w:afterLines="0" w:after="0"/>
        <w:ind w:firstLine="480" w:firstLineChars="200"/>
      </w:pPr>
      <w:r>
        <w:rPr>
          <w:rFonts w:ascii="Times New Roman" w:hAnsi="Times New Roman" w:cs="Times New Roman" w:eastAsia="宋体"/>
          <w:b w:val="0"/>
          <w:sz w:val="24"/>
        </w:rPr>
        <w:t>多推进器水下航行器的运动控制涉及多自由度动力学耦合、环境扰动抑制及执行机构约束协调等复合问题。相关研究方法在整体上呈现出从单一自由度解耦反馈控制向多变量耦合约束协同优化控制的清晰演进脉络。</w:t>
      </w:r>
    </w:p>
    <w:p>
      <w:pPr>
        <w:pStyle w:val="a7"/>
        <w:spacing w:line="360" w:lineRule="auto" w:beforeLines="0" w:before="0" w:afterLines="0" w:after="0"/>
        <w:ind w:firstLine="480" w:firstLineChars="200"/>
      </w:pPr>
      <w:r>
        <w:rPr>
          <w:rFonts w:ascii="Times New Roman" w:hAnsi="Times New Roman" w:cs="Times New Roman" w:eastAsia="宋体"/>
          <w:b/>
          <w:sz w:val="24"/>
        </w:rPr>
        <w:t>经典抗扰与鲁棒控制。</w:t>
      </w:r>
      <w:r>
        <w:rPr>
          <w:rFonts w:ascii="Times New Roman" w:hAnsi="Times New Roman" w:cs="Times New Roman" w:eastAsia="宋体"/>
          <w:b w:val="0"/>
          <w:sz w:val="24"/>
        </w:rPr>
        <w:t xml:space="preserve"> Yuh</w:t>
      </w:r>
      <w:r>
        <w:rPr>
          <w:rFonts w:ascii="Times New Roman" w:hAnsi="Times New Roman" w:cs="Times New Roman" w:eastAsia="宋体"/>
          <w:b w:val="0"/>
          <w:sz w:val="24"/>
          <w:vertAlign w:val="superscript"/>
        </w:rPr>
        <w:t>[20]</w:t>
      </w:r>
      <w:r>
        <w:rPr>
          <w:rFonts w:ascii="Times New Roman" w:hAnsi="Times New Roman" w:cs="Times New Roman" w:eastAsia="宋体"/>
          <w:b w:val="0"/>
          <w:sz w:val="24"/>
        </w:rPr>
        <w:t>较早系统综述了 AUV 的自适应与智能控制方法，指出经典 PID 控制因设计简洁、实现成本低，至今仍是商业 ROV 系统的主流底层控制方案。朱大奇等</w:t>
      </w:r>
      <w:r>
        <w:rPr>
          <w:rFonts w:ascii="Times New Roman" w:hAnsi="Times New Roman" w:cs="Times New Roman" w:eastAsia="宋体"/>
          <w:b w:val="0"/>
          <w:sz w:val="24"/>
          <w:vertAlign w:val="superscript"/>
        </w:rPr>
        <w:t>[21]</w:t>
      </w:r>
      <w:r>
        <w:rPr>
          <w:rFonts w:ascii="Times New Roman" w:hAnsi="Times New Roman" w:cs="Times New Roman" w:eastAsia="宋体"/>
          <w:b w:val="0"/>
          <w:sz w:val="24"/>
        </w:rPr>
        <w:t>对水下机器人控制方法进行了专题综述，将控制方案系统归类为 PID、模糊控制、神经网络控制及自适应方法。Yoerger 与 Slotine</w:t>
      </w:r>
      <w:r>
        <w:rPr>
          <w:rFonts w:ascii="Times New Roman" w:hAnsi="Times New Roman" w:cs="Times New Roman" w:eastAsia="宋体"/>
          <w:b w:val="0"/>
          <w:sz w:val="24"/>
          <w:vertAlign w:val="superscript"/>
        </w:rPr>
        <w:t>[22]</w:t>
      </w:r>
      <w:r>
        <w:rPr>
          <w:rFonts w:ascii="Times New Roman" w:hAnsi="Times New Roman" w:cs="Times New Roman" w:eastAsia="宋体"/>
          <w:b w:val="0"/>
          <w:sz w:val="24"/>
        </w:rPr>
        <w:t>较早将滑模控制（SMC）引入 ROV 深度控制，利用其对模型不确定性和外部扰动的结构性鲁棒性；Healey 与 Lienard</w:t>
      </w:r>
      <w:r>
        <w:rPr>
          <w:rFonts w:ascii="Times New Roman" w:hAnsi="Times New Roman" w:cs="Times New Roman" w:eastAsia="宋体"/>
          <w:b w:val="0"/>
          <w:sz w:val="24"/>
          <w:vertAlign w:val="superscript"/>
        </w:rPr>
        <w:t>[23]</w:t>
      </w:r>
      <w:r>
        <w:rPr>
          <w:rFonts w:ascii="Times New Roman" w:hAnsi="Times New Roman" w:cs="Times New Roman" w:eastAsia="宋体"/>
          <w:b w:val="0"/>
          <w:sz w:val="24"/>
        </w:rPr>
        <w:t>则将多变量滑模控制扩展至 AUV 的速度与航向联合控制，在参数漂移与海流扰动等场景下展现出较强鲁棒性。Chu 等</w:t>
      </w:r>
      <w:r>
        <w:rPr>
          <w:rFonts w:ascii="Times New Roman" w:hAnsi="Times New Roman" w:cs="Times New Roman" w:eastAsia="宋体"/>
          <w:b w:val="0"/>
          <w:sz w:val="24"/>
          <w:vertAlign w:val="superscript"/>
        </w:rPr>
        <w:t>[24]</w:t>
      </w:r>
      <w:r>
        <w:rPr>
          <w:rFonts w:ascii="Times New Roman" w:hAnsi="Times New Roman" w:cs="Times New Roman" w:eastAsia="宋体"/>
          <w:b w:val="0"/>
          <w:sz w:val="24"/>
        </w:rPr>
        <w:t>针对 ROV 参数不确定性设计了考虑推进器动态与输入饱和约束的自适应轨迹跟踪控制律，基于 Lyapunov 稳定性理论实现了动力学参数的在线辨识与控制器协同更新。上述经典方法的主要局限在于：对推进器饱和、推力方向约束等物理输入限制的处理依赖事后限幅截断，而非在控制决策阶段的显式前瞻性约束处理，导致推力方向的系统性失真在饱和工况下难以避免。</w:t>
      </w:r>
    </w:p>
    <w:p>
      <w:pPr>
        <w:pStyle w:val="a7"/>
        <w:spacing w:line="360" w:lineRule="auto" w:beforeLines="0" w:before="0" w:afterLines="0" w:after="0"/>
        <w:ind w:firstLine="480" w:firstLineChars="200"/>
      </w:pPr>
      <w:r>
        <w:rPr>
          <w:rFonts w:ascii="Times New Roman" w:hAnsi="Times New Roman" w:cs="Times New Roman" w:eastAsia="宋体"/>
          <w:b/>
          <w:sz w:val="24"/>
        </w:rPr>
        <w:t>模型预测控制（MPC）的约束感知优势与工程挑战。</w:t>
      </w:r>
      <w:r>
        <w:rPr>
          <w:rFonts w:ascii="Times New Roman" w:hAnsi="Times New Roman" w:cs="Times New Roman" w:eastAsia="宋体"/>
          <w:b w:val="0"/>
          <w:sz w:val="24"/>
        </w:rPr>
        <w:t xml:space="preserve"> 张磊等</w:t>
      </w:r>
      <w:r>
        <w:rPr>
          <w:rFonts w:ascii="Times New Roman" w:hAnsi="Times New Roman" w:cs="Times New Roman" w:eastAsia="宋体"/>
          <w:b w:val="0"/>
          <w:sz w:val="24"/>
          <w:vertAlign w:val="superscript"/>
        </w:rPr>
        <w:t>[25]</w:t>
      </w:r>
      <w:r>
        <w:rPr>
          <w:rFonts w:ascii="Times New Roman" w:hAnsi="Times New Roman" w:cs="Times New Roman" w:eastAsia="宋体"/>
          <w:b w:val="0"/>
          <w:sz w:val="24"/>
        </w:rPr>
        <w:t>系统梳理了自主水下航行器模型预测控制的研究进展，分析了预测控制在多变量耦合系统中的应用特点。Heshmati-Alamdari 等</w:t>
      </w:r>
      <w:r>
        <w:rPr>
          <w:rFonts w:ascii="Times New Roman" w:hAnsi="Times New Roman" w:cs="Times New Roman" w:eastAsia="宋体"/>
          <w:b w:val="0"/>
          <w:sz w:val="24"/>
          <w:vertAlign w:val="superscript"/>
        </w:rPr>
        <w:t>[26]</w:t>
      </w:r>
      <w:r>
        <w:rPr>
          <w:rFonts w:ascii="Times New Roman" w:hAnsi="Times New Roman" w:cs="Times New Roman" w:eastAsia="宋体"/>
          <w:b w:val="0"/>
          <w:sz w:val="24"/>
        </w:rPr>
        <w:t>针对受限工作空间中的水下航行器提出鲁棒 MPC 方法，将环境约束与运动控制目标协调纳入统一优化框架；其后续工作</w:t>
      </w:r>
      <w:r>
        <w:rPr>
          <w:rFonts w:ascii="Times New Roman" w:hAnsi="Times New Roman" w:cs="Times New Roman" w:eastAsia="宋体"/>
          <w:b w:val="0"/>
          <w:sz w:val="24"/>
          <w:vertAlign w:val="superscript"/>
        </w:rPr>
        <w:t>[27]</w:t>
      </w:r>
      <w:r>
        <w:rPr>
          <w:rFonts w:ascii="Times New Roman" w:hAnsi="Times New Roman" w:cs="Times New Roman" w:eastAsia="宋体"/>
          <w:b w:val="0"/>
          <w:sz w:val="24"/>
        </w:rPr>
        <w:t xml:space="preserve">进一步研究了不确定环境下欠驱动 AUV 的鲁棒非线性 MPC，通过有限时域优化与鲁棒反馈补偿相结合，系统处理了轨迹跟踪、环境扰动及多重约束问题。MPC 的核心学术优势在于其“约束感知”的控制律生成机制：通过在有限时域内求解带约束优化问题，将执行机构物理极限 </w:t>
      </w:r>
      <m:oMath xmlns:mml="http://www.w3.org/1998/Math/MathML">
        <m:sSub>
          <m:e>
            <m:r>
              <m:t>u</m:t>
            </m:r>
          </m:e>
          <m:sub>
            <m:r>
              <m:t>min</m:t>
            </m:r>
          </m:sub>
        </m:sSub>
        <m:r>
          <m:t>≤</m:t>
        </m:r>
        <m:sSub>
          <m:e>
            <m:r>
              <m:t>u</m:t>
            </m:r>
          </m:e>
          <m:sub>
            <m:r>
              <m:t>k</m:t>
            </m:r>
          </m:sub>
        </m:sSub>
        <m:r>
          <m:t>≤</m:t>
        </m:r>
        <m:sSub>
          <m:e>
            <m:r>
              <m:t>u</m:t>
            </m:r>
          </m:e>
          <m:sub>
            <m:r>
              <m:t>max</m:t>
            </m:r>
          </m:sub>
        </m:sSub>
      </m:oMath>
      <w:r>
        <w:rPr>
          <w:rFonts w:ascii="Times New Roman" w:hAnsi="Times New Roman" w:cs="Times New Roman" w:eastAsia="宋体"/>
          <w:b w:val="0"/>
          <w:sz w:val="24"/>
        </w:rPr>
        <w:t xml:space="preserve">、状态安全包络 </w:t>
      </w:r>
      <m:oMath xmlns:mml="http://www.w3.org/1998/Math/MathML">
        <m:sSub>
          <m:e>
            <m:r>
              <m:t>x</m:t>
            </m:r>
          </m:e>
          <m:sub>
            <m:r>
              <m:t>k</m:t>
            </m:r>
          </m:sub>
        </m:sSub>
        <m:r>
          <m:t>∈𝒳</m:t>
        </m:r>
      </m:oMath>
      <w:r>
        <w:rPr>
          <w:rFonts w:ascii="Times New Roman" w:hAnsi="Times New Roman" w:cs="Times New Roman" w:eastAsia="宋体"/>
          <w:b w:val="0"/>
          <w:sz w:val="24"/>
        </w:rPr>
        <w:t xml:space="preserve"> 等约束统一纳入控制决策，而非事后饱和截断。其主要工程挑战在于：非线性 MPC（NMPC）在嵌入式实时场景下，非凸优化问题的求解时延可能突破控制采样周期；线性化 MPC（LMPC）与经济型 MPC 是降低在线计算开销的常见折中方案，但预测精度受线性化工作点误差的约束。</w:t>
      </w:r>
    </w:p>
    <w:p>
      <w:pPr>
        <w:pStyle w:val="a7"/>
        <w:spacing w:line="360" w:lineRule="auto" w:beforeLines="0" w:before="0" w:afterLines="0" w:after="0"/>
        <w:ind w:firstLine="480" w:firstLineChars="200"/>
      </w:pPr>
      <w:r>
        <w:rPr>
          <w:rFonts w:ascii="Times New Roman" w:hAnsi="Times New Roman" w:cs="Times New Roman" w:eastAsia="宋体"/>
          <w:b/>
          <w:sz w:val="24"/>
        </w:rPr>
        <w:t>推力分配方法演进：从解析伪逆到二次规划优化。</w:t>
      </w:r>
      <w:r>
        <w:rPr>
          <w:rFonts w:ascii="Times New Roman" w:hAnsi="Times New Roman" w:cs="Times New Roman" w:eastAsia="宋体"/>
          <w:b w:val="0"/>
          <w:sz w:val="24"/>
        </w:rPr>
        <w:t xml:space="preserve"> 在运动控制层之下，推力分配（Control Allocation）负责将控制律输出的广义力/力矩向量 </w:t>
      </w:r>
      <m:oMath xmlns:mml="http://www.w3.org/1998/Math/MathML">
        <m:sSub>
          <m:e>
            <m:r>
              <m:t>τ</m:t>
            </m:r>
          </m:e>
          <m:sub>
            <m:r>
              <m:t>d</m:t>
            </m:r>
          </m:sub>
        </m:sSub>
        <m:r>
          <m:t>∈</m:t>
        </m:r>
        <m:sSup>
          <m:e>
            <m:r>
              <m:t>ℝ</m:t>
            </m:r>
          </m:e>
          <m:sup>
            <m:r>
              <m:t>6</m:t>
            </m:r>
          </m:sup>
        </m:sSup>
      </m:oMath>
      <w:r>
        <w:rPr>
          <w:rFonts w:ascii="Times New Roman" w:hAnsi="Times New Roman" w:cs="Times New Roman" w:eastAsia="宋体"/>
          <w:b w:val="0"/>
          <w:sz w:val="24"/>
        </w:rPr>
        <w:t xml:space="preserve"> 映射为各推进器的具体指令 </w:t>
      </w:r>
      <m:oMath xmlns:mml="http://www.w3.org/1998/Math/MathML">
        <m:r>
          <m:t>u∈</m:t>
        </m:r>
        <m:sSup>
          <m:e>
            <m:r>
              <m:t>ℝ</m:t>
            </m:r>
          </m:e>
          <m:sup>
            <m:r>
              <m:t>n</m:t>
            </m:r>
          </m:sup>
        </m:sSup>
      </m:oMath>
      <w:r>
        <w:rPr>
          <w:rFonts w:ascii="Times New Roman" w:hAnsi="Times New Roman" w:cs="Times New Roman" w:eastAsia="宋体"/>
          <w:b w:val="0"/>
          <w:sz w:val="24"/>
        </w:rPr>
        <w:t>，是多冗余推进器系统的核心计算环节。</w:t>
      </w:r>
    </w:p>
    <w:p>
      <w:pPr>
        <w:pStyle w:val="a7"/>
        <w:spacing w:line="360" w:lineRule="auto" w:beforeLines="0" w:before="0" w:afterLines="0" w:after="0"/>
        <w:ind w:firstLine="480" w:firstLineChars="200"/>
      </w:pPr>
      <w:r>
        <w:rPr>
          <w:rFonts w:ascii="Times New Roman" w:hAnsi="Times New Roman" w:cs="Times New Roman" w:eastAsia="宋体"/>
          <w:b/>
          <w:sz w:val="24"/>
        </w:rPr>
        <w:t>解析伪逆分配：</w:t>
      </w:r>
      <w:r>
        <w:rPr>
          <w:rFonts w:ascii="Times New Roman" w:hAnsi="Times New Roman" w:cs="Times New Roman" w:eastAsia="宋体"/>
          <w:b w:val="0"/>
          <w:sz w:val="24"/>
        </w:rPr>
        <w:t xml:space="preserve"> 最简洁的推力分配方案为基于推力分配矩阵 </w:t>
      </w:r>
      <m:oMath xmlns:mml="http://www.w3.org/1998/Math/MathML">
        <m:r>
          <m:t>B∈</m:t>
        </m:r>
        <m:sSup>
          <m:e>
            <m:r>
              <m:t>ℝ</m:t>
            </m:r>
          </m:e>
          <m:sup>
            <m:r>
              <m:t>6×n</m:t>
            </m:r>
          </m:sup>
        </m:sSup>
      </m:oMath>
      <w:r>
        <w:rPr>
          <w:rFonts w:ascii="Times New Roman" w:hAnsi="Times New Roman" w:cs="Times New Roman" w:eastAsia="宋体"/>
          <w:b w:val="0"/>
          <w:sz w:val="24"/>
        </w:rPr>
        <w:t xml:space="preserve"> 的 Moore-Penrose 广义逆解：</w:t>
      </w:r>
    </w:p>
    <w:p>
      <w:pPr>
        <w:pStyle w:val="a7"/>
        <w:spacing w:line="360" w:lineRule="auto" w:before="80" w:after="80"/>
        <w:ind w:firstLine="0" w:firstLineChars="0"/>
        <w:jc w:val="center"/>
      </w:pPr>
      <m:oMathPara>
        <m:oMath xmlns:mml="http://www.w3.org/1998/Math/MathML">
          <m:r>
            <m:t>u=</m:t>
          </m:r>
          <m:sSup>
            <m:e>
              <m:r>
                <m:t>B</m:t>
              </m:r>
            </m:e>
            <m:sup>
              <m:r>
                <m:t>+</m:t>
              </m:r>
            </m:sup>
          </m:sSup>
          <m:sSub>
            <m:e>
              <m:r>
                <m:t>τ</m:t>
              </m:r>
            </m:e>
            <m:sub>
              <m:r>
                <m:t>d</m:t>
              </m:r>
            </m:sub>
          </m:sSub>
          <m:r>
            <m:t>=</m:t>
          </m:r>
          <m:sSup>
            <m:e>
              <m:r>
                <m:t>B</m:t>
              </m:r>
            </m:e>
            <m:sup>
              <m:r>
                <m:t>T</m:t>
              </m:r>
            </m:sup>
          </m:sSup>
          <m:r>
            <m:t>(B</m:t>
          </m:r>
          <m:sSup>
            <m:e>
              <m:r>
                <m:t>B</m:t>
              </m:r>
            </m:e>
            <m:sup>
              <m:r>
                <m:t>T</m:t>
              </m:r>
            </m:sup>
          </m:sSup>
          <m:sSup>
            <m:e>
              <m:r>
                <m:t>)</m:t>
              </m:r>
            </m:e>
            <m:sup>
              <m:r>
                <m:t>−1</m:t>
              </m:r>
            </m:sup>
          </m:sSup>
          <m:sSub>
            <m:e>
              <m:r>
                <m:t>τ</m:t>
              </m:r>
            </m:e>
            <m:sub>
              <m:r>
                <m:t>d</m:t>
              </m:r>
            </m:sub>
          </m:sSub>
        </m:oMath>
      </m:oMathPara>
    </w:p>
    <w:p>
      <w:pPr>
        <w:pStyle w:val="a7"/>
        <w:spacing w:line="360" w:lineRule="auto" w:beforeLines="0" w:before="0" w:afterLines="0" w:after="0"/>
        <w:ind w:firstLine="480" w:firstLineChars="200"/>
      </w:pPr>
      <w:r>
        <w:rPr>
          <w:rFonts w:ascii="Times New Roman" w:hAnsi="Times New Roman" w:cs="Times New Roman" w:eastAsia="宋体"/>
          <w:b w:val="0"/>
          <w:sz w:val="24"/>
        </w:rPr>
        <w:t xml:space="preserve">该方法的矩阵运算规模为 </w:t>
      </w:r>
      <m:oMath xmlns:mml="http://www.w3.org/1998/Math/MathML">
        <m:r>
          <m:t>O(</m:t>
        </m:r>
        <m:sSup>
          <m:e>
            <m:r>
              <m:t>n</m:t>
            </m:r>
          </m:e>
          <m:sup>
            <m:r>
              <m:t>2</m:t>
            </m:r>
          </m:sup>
        </m:sSup>
        <m:r>
          <m:t>m)</m:t>
        </m:r>
      </m:oMath>
      <w:r>
        <w:rPr>
          <w:rFonts w:ascii="Times New Roman" w:hAnsi="Times New Roman" w:cs="Times New Roman" w:eastAsia="宋体"/>
          <w:b w:val="0"/>
          <w:sz w:val="24"/>
        </w:rPr>
        <w:t>（</w:t>
      </w:r>
      <m:oMath xmlns:mml="http://www.w3.org/1998/Math/MathML">
        <m:r>
          <m:t>n</m:t>
        </m:r>
      </m:oMath>
      <w:r>
        <w:rPr>
          <w:rFonts w:ascii="Times New Roman" w:hAnsi="Times New Roman" w:cs="Times New Roman" w:eastAsia="宋体"/>
          <w:b w:val="0"/>
          <w:sz w:val="24"/>
        </w:rPr>
        <w:t xml:space="preserve"> 为推进器数目，</w:t>
      </w:r>
      <m:oMath xmlns:mml="http://www.w3.org/1998/Math/MathML">
        <m:r>
          <m:t>m=6</m:t>
        </m:r>
      </m:oMath>
      <w:r>
        <w:rPr>
          <w:rFonts w:ascii="Times New Roman" w:hAnsi="Times New Roman" w:cs="Times New Roman" w:eastAsia="宋体"/>
          <w:b w:val="0"/>
          <w:sz w:val="24"/>
        </w:rPr>
        <w:t xml:space="preserve"> 为广义力维数），计算效率高，数学形式明确，适用于推进器处于正常工作状态且指令处于可实现范围内的工况。然而，当任一推进器饱和时，伪逆方案仅对超出幅值上限的分量进行截断处理，无法在约束可行域内主动寻优，导致合力方向系统性失真，从而破坏上层控制律的自洽性。Johansen 与 Fossen</w:t>
      </w:r>
      <w:r>
        <w:rPr>
          <w:rFonts w:ascii="Times New Roman" w:hAnsi="Times New Roman" w:cs="Times New Roman" w:eastAsia="宋体"/>
          <w:b w:val="0"/>
          <w:sz w:val="24"/>
          <w:vertAlign w:val="superscript"/>
        </w:rPr>
        <w:t>[28]</w:t>
      </w:r>
      <w:r>
        <w:rPr>
          <w:rFonts w:ascii="Times New Roman" w:hAnsi="Times New Roman" w:cs="Times New Roman" w:eastAsia="宋体"/>
          <w:b w:val="0"/>
          <w:sz w:val="24"/>
        </w:rPr>
        <w:t>系统总结了控制分配理论及其优化方法，建立了面向冗余执行机构的控制分配研究框架，明确指出了伪逆方案在约束激活工况下的根本局限。</w:t>
      </w:r>
    </w:p>
    <w:p>
      <w:pPr>
        <w:pStyle w:val="a7"/>
        <w:spacing w:line="360" w:lineRule="auto" w:beforeLines="0" w:before="0" w:afterLines="0" w:after="0"/>
        <w:ind w:firstLine="480" w:firstLineChars="200"/>
      </w:pPr>
      <w:r>
        <w:rPr>
          <w:rFonts w:ascii="Times New Roman" w:hAnsi="Times New Roman" w:cs="Times New Roman" w:eastAsia="宋体"/>
          <w:b/>
          <w:sz w:val="24"/>
        </w:rPr>
        <w:t>二次规划（QP）优化分配：</w:t>
      </w:r>
      <w:r>
        <w:rPr>
          <w:rFonts w:ascii="Times New Roman" w:hAnsi="Times New Roman" w:cs="Times New Roman" w:eastAsia="宋体"/>
          <w:b w:val="0"/>
          <w:sz w:val="24"/>
        </w:rPr>
        <w:t xml:space="preserve"> 为克服伪逆方案的约束处理局限，学界发展了基于 QP 的优化推力分配方法，将分配问题表述为：</w:t>
      </w:r>
    </w:p>
    <w:p>
      <w:pPr>
        <w:pStyle w:val="a7"/>
        <w:spacing w:line="360" w:lineRule="auto" w:before="80" w:after="80"/>
        <w:ind w:firstLine="0" w:firstLineChars="0"/>
        <w:jc w:val="center"/>
      </w:pPr>
      <m:oMathPara>
        <m:oMath xmlns:mml="http://www.w3.org/1998/Math/MathML">
          <m:sSub>
            <m:e>
              <m:r>
                <m:t>min</m:t>
              </m:r>
            </m:e>
            <m:sub>
              <m:r>
                <m:t>u</m:t>
              </m:r>
            </m:sub>
          </m:sSub>
          <m:r>
            <m:t>‖Bu−</m:t>
          </m:r>
          <m:sSub>
            <m:e>
              <m:r>
                <m:t>τ</m:t>
              </m:r>
            </m:e>
            <m:sub>
              <m:r>
                <m:t>d</m:t>
              </m:r>
            </m:sub>
          </m:sSub>
          <m:sSubSup>
            <m:e>
              <m:r>
                <m:t>‖</m:t>
              </m:r>
            </m:e>
            <m:sub>
              <m:r>
                <m:t>W</m:t>
              </m:r>
            </m:sub>
            <m:sup>
              <m:r>
                <m:t>2</m:t>
              </m:r>
            </m:sup>
          </m:sSubSup>
          <m:r>
            <m:t>+γ‖u</m:t>
          </m:r>
          <m:sSup>
            <m:e>
              <m:r>
                <m:t>‖</m:t>
              </m:r>
            </m:e>
            <m:sup>
              <m:r>
                <m:t>2</m:t>
              </m:r>
            </m:sup>
          </m:sSup>
          <m:r>
            <m:rPr>
              <m:nor/>
            </m:rPr>
            <m:t>s.t.</m:t>
          </m:r>
          <m:sSub>
            <m:e>
              <m:r>
                <m:t>u</m:t>
              </m:r>
            </m:e>
            <m:sub>
              <m:r>
                <m:t>min</m:t>
              </m:r>
            </m:sub>
          </m:sSub>
          <m:r>
            <m:t>≤u≤</m:t>
          </m:r>
          <m:sSub>
            <m:e>
              <m:r>
                <m:t>u</m:t>
              </m:r>
            </m:e>
            <m:sub>
              <m:r>
                <m:t>max</m:t>
              </m:r>
            </m:sub>
          </m:sSub>
        </m:oMath>
      </m:oMathPara>
    </w:p>
    <w:p>
      <w:pPr>
        <w:pStyle w:val="a7"/>
        <w:spacing w:line="360" w:lineRule="auto" w:beforeLines="0" w:before="0" w:afterLines="0" w:after="0"/>
        <w:ind w:firstLine="480" w:firstLineChars="200"/>
      </w:pPr>
      <w:r>
        <w:rPr>
          <w:rFonts w:ascii="Times New Roman" w:hAnsi="Times New Roman" w:cs="Times New Roman" w:eastAsia="宋体"/>
          <w:b w:val="0"/>
          <w:sz w:val="24"/>
        </w:rPr>
        <w:t xml:space="preserve">其中 </w:t>
      </w:r>
      <m:oMath xmlns:mml="http://www.w3.org/1998/Math/MathML">
        <m:r>
          <m:t>W</m:t>
        </m:r>
      </m:oMath>
      <w:r>
        <w:rPr>
          <w:rFonts w:ascii="Times New Roman" w:hAnsi="Times New Roman" w:cs="Times New Roman" w:eastAsia="宋体"/>
          <w:b w:val="0"/>
          <w:sz w:val="24"/>
        </w:rPr>
        <w:t xml:space="preserve"> 为广义力跟踪误差权重矩阵，</w:t>
      </w:r>
      <m:oMath xmlns:mml="http://www.w3.org/1998/Math/MathML">
        <m:r>
          <m:t>γ</m:t>
        </m:r>
      </m:oMath>
      <w:r>
        <w:rPr>
          <w:rFonts w:ascii="Times New Roman" w:hAnsi="Times New Roman" w:cs="Times New Roman" w:eastAsia="宋体"/>
          <w:b w:val="0"/>
          <w:sz w:val="24"/>
        </w:rPr>
        <w:t xml:space="preserve"> 为推力能耗正则化系数。Bodson</w:t>
      </w:r>
      <w:r>
        <w:rPr>
          <w:rFonts w:ascii="Times New Roman" w:hAnsi="Times New Roman" w:cs="Times New Roman" w:eastAsia="宋体"/>
          <w:b w:val="0"/>
          <w:sz w:val="24"/>
          <w:vertAlign w:val="superscript"/>
        </w:rPr>
        <w:t>[29]</w:t>
      </w:r>
      <w:r>
        <w:rPr>
          <w:rFonts w:ascii="Times New Roman" w:hAnsi="Times New Roman" w:cs="Times New Roman" w:eastAsia="宋体"/>
          <w:b w:val="0"/>
          <w:sz w:val="24"/>
        </w:rPr>
        <w:t>对多种优化控制分配方法进行了系统比较；Härkegård</w:t>
      </w:r>
      <w:r>
        <w:rPr>
          <w:rFonts w:ascii="Times New Roman" w:hAnsi="Times New Roman" w:cs="Times New Roman" w:eastAsia="宋体"/>
          <w:b w:val="0"/>
          <w:sz w:val="24"/>
          <w:vertAlign w:val="superscript"/>
        </w:rPr>
        <w:t>[30]</w:t>
      </w:r>
      <w:r>
        <w:rPr>
          <w:rFonts w:ascii="Times New Roman" w:hAnsi="Times New Roman" w:cs="Times New Roman" w:eastAsia="宋体"/>
          <w:b w:val="0"/>
          <w:sz w:val="24"/>
        </w:rPr>
        <w:t>进一步发展了面向飞行器/水下推进器的活跃集（Active Set）QP 求解算法，在约束激活集变化不频繁的工况下可实现接近伪逆的计算效率。国内研究方面，程卫平等</w:t>
      </w:r>
      <w:r>
        <w:rPr>
          <w:rFonts w:ascii="Times New Roman" w:hAnsi="Times New Roman" w:cs="Times New Roman" w:eastAsia="宋体"/>
          <w:b w:val="0"/>
          <w:sz w:val="24"/>
          <w:vertAlign w:val="superscript"/>
        </w:rPr>
        <w:t>[31]</w:t>
      </w:r>
      <w:r>
        <w:rPr>
          <w:rFonts w:ascii="Times New Roman" w:hAnsi="Times New Roman" w:cs="Times New Roman" w:eastAsia="宋体"/>
          <w:b w:val="0"/>
          <w:sz w:val="24"/>
        </w:rPr>
        <w:t>针对多推进器 AUV 构型，基于可行方向法研究了推力约束条件下的优化求解问题；孙功武等</w:t>
      </w:r>
      <w:r>
        <w:rPr>
          <w:rFonts w:ascii="Times New Roman" w:hAnsi="Times New Roman" w:cs="Times New Roman" w:eastAsia="宋体"/>
          <w:b w:val="0"/>
          <w:sz w:val="24"/>
          <w:vertAlign w:val="superscript"/>
        </w:rPr>
        <w:t>[32]</w:t>
      </w:r>
      <w:r>
        <w:rPr>
          <w:rFonts w:ascii="Times New Roman" w:hAnsi="Times New Roman" w:cs="Times New Roman" w:eastAsia="宋体"/>
          <w:b w:val="0"/>
          <w:sz w:val="24"/>
        </w:rPr>
        <w:t>针对混合推进 ROV 提出基于模糊逻辑的多级推力分配策略，研究了不同推进方式之间的分层协调机制；Li 等</w:t>
      </w:r>
      <w:r>
        <w:rPr>
          <w:rFonts w:ascii="Times New Roman" w:hAnsi="Times New Roman" w:cs="Times New Roman" w:eastAsia="宋体"/>
          <w:b w:val="0"/>
          <w:sz w:val="24"/>
          <w:vertAlign w:val="superscript"/>
        </w:rPr>
        <w:t>[33]</w:t>
      </w:r>
      <w:r>
        <w:rPr>
          <w:rFonts w:ascii="Times New Roman" w:hAnsi="Times New Roman" w:cs="Times New Roman" w:eastAsia="宋体"/>
          <w:b w:val="0"/>
          <w:sz w:val="24"/>
        </w:rPr>
        <w:t>则针对固定桨全向 ROV 建立了基于运动控制误差的直接容错控制方法，通过推进器故障检测与控制重构提升了系统可靠性。QP 优化分配在显式约束处理与多目标优化（能耗最小化、推进器均衡磨损）方面具有显著优势，其代价在于每一控制周期须实时求解一个二次规划问题，在高频控制（10 Hz 以上）场景下对嵌入式计算资源的需求不可忽视；热启动（warm-start）与分层优先级分配是降低在线计算开销的主要工程手段。</w:t>
      </w:r>
    </w:p>
    <w:p>
      <w:pPr>
        <w:pStyle w:val="a7"/>
        <w:spacing w:line="360" w:lineRule="auto" w:beforeLines="0" w:before="0" w:afterLines="0" w:after="0"/>
        <w:ind w:firstLine="480" w:firstLineChars="200"/>
      </w:pPr>
      <w:r>
        <w:rPr>
          <w:rFonts w:ascii="Times New Roman" w:hAnsi="Times New Roman" w:cs="Times New Roman" w:eastAsia="宋体"/>
          <w:b/>
          <w:sz w:val="24"/>
        </w:rPr>
        <w:t>控制与分配的解耦架构与协同机制。</w:t>
      </w:r>
      <w:r>
        <w:rPr>
          <w:rFonts w:ascii="Times New Roman" w:hAnsi="Times New Roman" w:cs="Times New Roman" w:eastAsia="宋体"/>
          <w:b w:val="0"/>
          <w:sz w:val="24"/>
        </w:rPr>
        <w:t xml:space="preserve"> 在传统分层解耦架构中，上层 MPC 运动控制器与下层 QP 推力分配器以串行方式工作：控制器输出期望广义力 </w:t>
      </w:r>
      <m:oMath xmlns:mml="http://www.w3.org/1998/Math/MathML">
        <m:sSub>
          <m:e>
            <m:r>
              <m:t>τ</m:t>
            </m:r>
          </m:e>
          <m:sub>
            <m:r>
              <m:t>d</m:t>
            </m:r>
          </m:sub>
        </m:sSub>
      </m:oMath>
      <w:r>
        <w:rPr>
          <w:rFonts w:ascii="Times New Roman" w:hAnsi="Times New Roman" w:cs="Times New Roman" w:eastAsia="宋体"/>
          <w:b w:val="0"/>
          <w:sz w:val="24"/>
        </w:rPr>
        <w:t xml:space="preserve">，分配器在局部约束下尽力近似。这一解耦架构在约束激活不频繁时具有良好的工程可行性，但在推进器大范围饱和或多路约束同时激活的工况下，分配层的可行性损失会以“未建模扰动”的形式反馈至控制层，从而破坏上层 MPC 预测模型的自洽性——MPC 在滚动优化中假设期望推力 </w:t>
      </w:r>
      <m:oMath xmlns:mml="http://www.w3.org/1998/Math/MathML">
        <m:sSub>
          <m:e>
            <m:r>
              <m:t>τ</m:t>
            </m:r>
          </m:e>
          <m:sub>
            <m:r>
              <m:t>d</m:t>
            </m:r>
          </m:sub>
        </m:sSub>
      </m:oMath>
      <w:r>
        <w:rPr>
          <w:rFonts w:ascii="Times New Roman" w:hAnsi="Times New Roman" w:cs="Times New Roman" w:eastAsia="宋体"/>
          <w:b w:val="0"/>
          <w:sz w:val="24"/>
        </w:rPr>
        <w:t xml:space="preserve"> 可完全实现，而下层实际执行量与之存在系统性偏差时，预测轨迹与实际轨迹的一致性无法保证，最终导致闭环稳定性与跟踪性能的双重退化。</w:t>
      </w:r>
    </w:p>
    <w:p>
      <w:pPr>
        <w:pStyle w:val="a7"/>
        <w:spacing w:line="360" w:lineRule="auto" w:beforeLines="0" w:before="0" w:afterLines="0" w:after="0"/>
        <w:ind w:firstLine="480" w:firstLineChars="200"/>
      </w:pPr>
      <w:r>
        <w:rPr>
          <w:rFonts w:ascii="Times New Roman" w:hAnsi="Times New Roman" w:cs="Times New Roman" w:eastAsia="宋体"/>
          <w:b w:val="0"/>
          <w:sz w:val="24"/>
        </w:rPr>
        <w:t xml:space="preserve">为克服这一层间动态失配问题，学界探索了将推力分配约束上提至 MPC 优化层的一体化协同设计路线：在 MPC 的约束集中直接加入各推进器幅值约束（即对 </w:t>
      </w:r>
      <m:oMath xmlns:mml="http://www.w3.org/1998/Math/MathML">
        <m:r>
          <m:t>Bu</m:t>
        </m:r>
      </m:oMath>
      <w:r>
        <w:rPr>
          <w:rFonts w:ascii="Times New Roman" w:hAnsi="Times New Roman" w:cs="Times New Roman" w:eastAsia="宋体"/>
          <w:b w:val="0"/>
          <w:sz w:val="24"/>
        </w:rPr>
        <w:t xml:space="preserve"> 的约束，而非对 </w:t>
      </w:r>
      <m:oMath xmlns:mml="http://www.w3.org/1998/Math/MathML">
        <m:sSub>
          <m:e>
            <m:r>
              <m:t>τ</m:t>
            </m:r>
          </m:e>
          <m:sub>
            <m:r>
              <m:t>d</m:t>
            </m:r>
          </m:sub>
        </m:sSub>
      </m:oMath>
      <w:r>
        <w:rPr>
          <w:rFonts w:ascii="Times New Roman" w:hAnsi="Times New Roman" w:cs="Times New Roman" w:eastAsia="宋体"/>
          <w:b w:val="0"/>
          <w:sz w:val="24"/>
        </w:rPr>
        <w:t xml:space="preserve"> 的约束），从而在生成期望广义力的同时保证其推进器级可实现性。Heshmati-Alamdari 等</w:t>
      </w:r>
      <w:r>
        <w:rPr>
          <w:rFonts w:ascii="Times New Roman" w:hAnsi="Times New Roman" w:cs="Times New Roman" w:eastAsia="宋体"/>
          <w:b w:val="0"/>
          <w:sz w:val="24"/>
          <w:vertAlign w:val="superscript"/>
        </w:rPr>
        <w:t>[26,27]</w:t>
      </w:r>
      <w:r>
        <w:rPr>
          <w:rFonts w:ascii="Times New Roman" w:hAnsi="Times New Roman" w:cs="Times New Roman" w:eastAsia="宋体"/>
          <w:b w:val="0"/>
          <w:sz w:val="24"/>
        </w:rPr>
        <w:t>的部分工作已向这一方向延伸。这一协同架构的代价在于：MPC 优化变量维数由 6 维增至推进器数目维（八推进器构型下增至 8 维），约束数量相应激增，计算复杂度显著提升，是当前多推进器约束控制研究的前沿开放课题之一。两类方法分别体现了模块化实时控制与全局约束协调的技术优势，如何在层间失配消除与求解维数剧增之间取得有效平衡，构成了本课题控制层研究的核心张力。</w:t>
      </w:r>
    </w:p>
    <w:p>
      <w:pPr>
        <w:pStyle w:val="a7"/>
        <w:spacing w:line="360" w:lineRule="auto" w:beforeLines="50" w:before="120" w:afterLines="50" w:after="120"/>
        <w:ind w:firstLine="480" w:firstLineChars="200"/>
      </w:pPr>
      <w:r>
        <w:rPr>
          <w:rFonts w:ascii="Times New Roman" w:hAnsi="Times New Roman" w:cs="Times New Roman" w:eastAsia="黑体"/>
          <w:b w:val="0"/>
          <w:sz w:val="24"/>
        </w:rPr>
        <w:t>2.3 PX4 开源飞控水下适配与闭环仿真验证现状</w:t>
      </w:r>
    </w:p>
    <w:p>
      <w:pPr>
        <w:pStyle w:val="a7"/>
        <w:spacing w:line="360" w:lineRule="auto" w:beforeLines="0" w:before="0" w:afterLines="0" w:after="0"/>
        <w:ind w:firstLine="480" w:firstLineChars="200"/>
      </w:pPr>
      <w:r>
        <w:rPr>
          <w:rFonts w:ascii="Times New Roman" w:hAnsi="Times New Roman" w:cs="Times New Roman" w:eastAsia="宋体"/>
          <w:b w:val="0"/>
          <w:sz w:val="24"/>
        </w:rPr>
        <w:t>算法从离线数值仿真走向工程系统，须经历飞控平台集成与全链路闭环验证的关键环节。实际飞控软件的实时调度、通信协议时序、执行器指令映射及传感器数据延迟等系统级因素，均可能在算法移植过程中引入离线仿真阶段难以预见的性能劣化，使得系统级闭环验证成为算法工程化不可省略的必要路径。</w:t>
      </w:r>
    </w:p>
    <w:p>
      <w:pPr>
        <w:pStyle w:val="a7"/>
        <w:spacing w:line="360" w:lineRule="auto" w:beforeLines="0" w:before="0" w:afterLines="0" w:after="0"/>
        <w:ind w:firstLine="480" w:firstLineChars="200"/>
      </w:pPr>
      <w:r>
        <w:rPr>
          <w:rFonts w:ascii="Times New Roman" w:hAnsi="Times New Roman" w:cs="Times New Roman" w:eastAsia="宋体"/>
          <w:b/>
          <w:sz w:val="24"/>
        </w:rPr>
        <w:t>飞控架构与混控机制。</w:t>
      </w:r>
      <w:r>
        <w:rPr>
          <w:rFonts w:ascii="Times New Roman" w:hAnsi="Times New Roman" w:cs="Times New Roman" w:eastAsia="宋体"/>
          <w:b w:val="0"/>
          <w:sz w:val="24"/>
        </w:rPr>
        <w:t xml:space="preserve"> Meier 等</w:t>
      </w:r>
      <w:r>
        <w:rPr>
          <w:rFonts w:ascii="Times New Roman" w:hAnsi="Times New Roman" w:cs="Times New Roman" w:eastAsia="宋体"/>
          <w:b w:val="0"/>
          <w:sz w:val="24"/>
          <w:vertAlign w:val="superscript"/>
        </w:rPr>
        <w:t>[34]</w:t>
      </w:r>
      <w:r>
        <w:rPr>
          <w:rFonts w:ascii="Times New Roman" w:hAnsi="Times New Roman" w:cs="Times New Roman" w:eastAsia="宋体"/>
          <w:b w:val="0"/>
          <w:sz w:val="24"/>
        </w:rPr>
        <w:t>主导开发的 PX4 自驾仪采用模块化微内核架构，各功能模块（传感器驱动、状态估计、控制律、混控输出）通过 uORB 发布—订阅消息总线解耦通信，以固定调度周期响应实时控制需求，形成了良好的功能分层与接口规范。在控制分配层面，PX4 的 Control Allocator 模块</w:t>
      </w:r>
      <w:r>
        <w:rPr>
          <w:rFonts w:ascii="Times New Roman" w:hAnsi="Times New Roman" w:cs="Times New Roman" w:eastAsia="宋体"/>
          <w:b w:val="0"/>
          <w:sz w:val="24"/>
          <w:vertAlign w:val="superscript"/>
        </w:rPr>
        <w:t>[35]</w:t>
      </w:r>
      <w:r>
        <w:rPr>
          <w:rFonts w:ascii="Times New Roman" w:hAnsi="Times New Roman" w:cs="Times New Roman" w:eastAsia="宋体"/>
          <w:b w:val="0"/>
          <w:sz w:val="24"/>
        </w:rPr>
        <w:t>以几何配置矩阵（混控矩阵）为核心，将期望广义力/力矩映射为各执行器指令，支持多旋翼、固定翼及 VTOL 的通用几何映射，通过参数文件（如 `.toml` 格式机型配置）静态指定各推进器的推力贡献向量。这一架构设计为自定义控制算法的嵌入提供了结构性支撑。然而，该混控模块的设计出发点是常规气动布局的无约束几何映射：分配计算本质上仍是广义逆或固定权重线性规划，缺乏针对多冗余空间矢量布局的原生受约束优化分配能力；在推进器发生饱和或单轴推力能力受限时，系统无法主动在约束可行域内寻求最优分配解，这对八推进器全向水下航行器的精细约束控制构成结构性局限。</w:t>
      </w:r>
    </w:p>
    <w:p>
      <w:pPr>
        <w:pStyle w:val="a7"/>
        <w:spacing w:line="360" w:lineRule="auto" w:beforeLines="0" w:before="0" w:afterLines="0" w:after="0"/>
        <w:ind w:firstLine="480" w:firstLineChars="200"/>
      </w:pPr>
      <w:r>
        <w:rPr>
          <w:rFonts w:ascii="Times New Roman" w:hAnsi="Times New Roman" w:cs="Times New Roman" w:eastAsia="宋体"/>
          <w:b/>
          <w:sz w:val="24"/>
        </w:rPr>
        <w:t>水下机型支持与高级控制接入。</w:t>
      </w:r>
      <w:r>
        <w:rPr>
          <w:rFonts w:ascii="Times New Roman" w:hAnsi="Times New Roman" w:cs="Times New Roman" w:eastAsia="宋体"/>
          <w:b w:val="0"/>
          <w:sz w:val="24"/>
        </w:rPr>
        <w:t xml:space="preserve"> PX4 官方提供了实验性 UUV 框架支持</w:t>
      </w:r>
      <w:r>
        <w:rPr>
          <w:rFonts w:ascii="Times New Roman" w:hAnsi="Times New Roman" w:cs="Times New Roman" w:eastAsia="宋体"/>
          <w:b w:val="0"/>
          <w:sz w:val="24"/>
          <w:vertAlign w:val="superscript"/>
        </w:rPr>
        <w:t>[4]</w:t>
      </w:r>
      <w:r>
        <w:rPr>
          <w:rFonts w:ascii="Times New Roman" w:hAnsi="Times New Roman" w:cs="Times New Roman" w:eastAsia="宋体"/>
          <w:b w:val="0"/>
          <w:sz w:val="24"/>
        </w:rPr>
        <w:t>，BlueROV2 Heavy</w:t>
      </w:r>
      <w:r>
        <w:rPr>
          <w:rFonts w:ascii="Times New Roman" w:hAnsi="Times New Roman" w:cs="Times New Roman" w:eastAsia="宋体"/>
          <w:b w:val="0"/>
          <w:sz w:val="24"/>
          <w:vertAlign w:val="superscript"/>
        </w:rPr>
        <w:t>[36]</w:t>
      </w:r>
      <w:r>
        <w:rPr>
          <w:rFonts w:ascii="Times New Roman" w:hAnsi="Times New Roman" w:cs="Times New Roman" w:eastAsia="宋体"/>
          <w:b w:val="0"/>
          <w:sz w:val="24"/>
        </w:rPr>
        <w:t>亦在社区适配层面实现了基础参数配置与推进器几何定义。官方文档列出的控制模式涵盖：Manual（直接操纵）、Stabilized（姿态稳定）、Acro（角速度控制）、Altitude（基于 PID 的高度保持）及 Position（位置与艏向保持）。这些模式的控制核心本质上均以经典 PID 结构为基础，缺乏对模型预测控制或基于优化推力分配等高阶控制方法的原生接口支持。</w:t>
      </w:r>
    </w:p>
    <w:p>
      <w:pPr>
        <w:pStyle w:val="a7"/>
        <w:spacing w:line="360" w:lineRule="auto" w:beforeLines="0" w:before="0" w:afterLines="0" w:after="0"/>
        <w:ind w:firstLine="480" w:firstLineChars="200"/>
      </w:pPr>
      <w:r>
        <w:rPr>
          <w:rFonts w:ascii="Times New Roman" w:hAnsi="Times New Roman" w:cs="Times New Roman" w:eastAsia="宋体"/>
          <w:b w:val="0"/>
          <w:sz w:val="24"/>
        </w:rPr>
        <w:t>为绕过固件控制层的结构性限制，Offboard 外部控制模式</w:t>
      </w:r>
      <w:r>
        <w:rPr>
          <w:rFonts w:ascii="Times New Roman" w:hAnsi="Times New Roman" w:cs="Times New Roman" w:eastAsia="宋体"/>
          <w:b w:val="0"/>
          <w:sz w:val="24"/>
          <w:vertAlign w:val="superscript"/>
        </w:rPr>
        <w:t>[37]</w:t>
      </w:r>
      <w:r>
        <w:rPr>
          <w:rFonts w:ascii="Times New Roman" w:hAnsi="Times New Roman" w:cs="Times New Roman" w:eastAsia="宋体"/>
          <w:b w:val="0"/>
          <w:sz w:val="24"/>
        </w:rPr>
        <w:t>提供了一条可行路径：通过 MAVLink 将高层运动指令（如 `SET_ATTITUDE_TARGET`、`SET_POSITION_TARGET_LOCAL_NED` 等标准协议消息）从外部计算单元（如车载工控机或 ROS 节点）实时下发至 PX4，由外部单元承载高阶优化计算。这一模式的优势在于可利用外部高算力平台运行复杂算法；但其代价在于：MAVLink 通信链路引入的时延抖动、MAVLink 报文调度周期与 PX4 内部控制循环时序的不一致，以及水下定位信号间断对外部控制闭环稳定性的冲击，构成难以回避的工程挑战。相比之下，直接在 PX4 固件内部实现高阶控制模块可利用硬实时调度保障时序一致性，但开发复杂度显著提升，且受嵌入式平台算力约束，对优化算法的实时性提出了更高要求。两种接入方案在算力分配、时序一致性与开发代价方面各有其工程边界，均有待在八推进器全向 ROV 场景下进行系统评估。</w:t>
      </w:r>
    </w:p>
    <w:p>
      <w:pPr>
        <w:pStyle w:val="a7"/>
        <w:spacing w:line="360" w:lineRule="auto" w:beforeLines="0" w:before="0" w:afterLines="0" w:after="0"/>
        <w:ind w:firstLine="480" w:firstLineChars="200"/>
      </w:pPr>
      <w:r>
        <w:rPr>
          <w:rFonts w:ascii="Times New Roman" w:hAnsi="Times New Roman" w:cs="Times New Roman" w:eastAsia="宋体"/>
          <w:b/>
          <w:sz w:val="24"/>
        </w:rPr>
        <w:t>仿真验证范式演进：离线数值仿真向 SITL 全链路迁移。</w:t>
      </w:r>
      <w:r>
        <w:rPr>
          <w:rFonts w:ascii="Times New Roman" w:hAnsi="Times New Roman" w:cs="Times New Roman" w:eastAsia="宋体"/>
          <w:b w:val="0"/>
          <w:sz w:val="24"/>
        </w:rPr>
        <w:t xml:space="preserve"> 两类验证范式的价值与局限已在研究实践中得到充分揭示。</w:t>
      </w:r>
    </w:p>
    <w:p>
      <w:pPr>
        <w:pStyle w:val="a7"/>
        <w:spacing w:line="360" w:lineRule="auto" w:beforeLines="0" w:before="0" w:afterLines="0" w:after="0"/>
        <w:ind w:firstLine="480" w:firstLineChars="200"/>
      </w:pPr>
      <w:r>
        <w:rPr>
          <w:rFonts w:ascii="Times New Roman" w:hAnsi="Times New Roman" w:cs="Times New Roman" w:eastAsia="宋体"/>
          <w:b/>
          <w:sz w:val="24"/>
        </w:rPr>
        <w:t>离线纯数值仿真：</w:t>
      </w:r>
      <w:r>
        <w:rPr>
          <w:rFonts w:ascii="Times New Roman" w:hAnsi="Times New Roman" w:cs="Times New Roman" w:eastAsia="宋体"/>
          <w:b w:val="0"/>
          <w:sz w:val="24"/>
        </w:rPr>
        <w:t xml:space="preserve"> 以 MATLAB/Simulink 为代表的离线数值仿真是最广泛采用的早期验证范式，von Benzon 等</w:t>
      </w:r>
      <w:r>
        <w:rPr>
          <w:rFonts w:ascii="Times New Roman" w:hAnsi="Times New Roman" w:cs="Times New Roman" w:eastAsia="宋体"/>
          <w:b w:val="0"/>
          <w:sz w:val="24"/>
          <w:vertAlign w:val="superscript"/>
        </w:rPr>
        <w:t>[10]</w:t>
      </w:r>
      <w:r>
        <w:rPr>
          <w:rFonts w:ascii="Times New Roman" w:hAnsi="Times New Roman" w:cs="Times New Roman" w:eastAsia="宋体"/>
          <w:b w:val="0"/>
          <w:sz w:val="24"/>
        </w:rPr>
        <w:t>基于此路线构建的 BlueROV2 仿真基准模型具有典型代表性。离线仿真在算法开发初期具有不可替代的价值：参数可控、迭代快速、便于控制律逻辑调试，为模型构建与控制律初步验证提供了高效的沙盒环境。然而，离线仿真与实际飞控软件完全解耦：控制算法以简化数学函数形式运行，绕过了 PX4 的实时调度周期、uORB 消息队列延迟、执行器 PWM 指令映射等系统级时序环节，因而无法暴露算法移植至真实飞控平台后可能出现的性能劣化问题——这一“系统级语义鸿沟”是离线仿真范式的根本性局限。</w:t>
      </w:r>
    </w:p>
    <w:p>
      <w:pPr>
        <w:pStyle w:val="a7"/>
        <w:spacing w:line="360" w:lineRule="auto" w:beforeLines="0" w:before="0" w:afterLines="0" w:after="0"/>
        <w:ind w:firstLine="480" w:firstLineChars="200"/>
      </w:pPr>
      <w:r>
        <w:rPr>
          <w:rFonts w:ascii="Times New Roman" w:hAnsi="Times New Roman" w:cs="Times New Roman" w:eastAsia="宋体"/>
          <w:b/>
          <w:sz w:val="24"/>
        </w:rPr>
        <w:t>软件在环仿真（SITL）：</w:t>
      </w:r>
      <w:r>
        <w:rPr>
          <w:rFonts w:ascii="Times New Roman" w:hAnsi="Times New Roman" w:cs="Times New Roman" w:eastAsia="宋体"/>
          <w:b w:val="0"/>
          <w:sz w:val="24"/>
        </w:rPr>
        <w:t xml:space="preserve"> SITL 以 Gazebo 物理引擎配合真实 PX4 固件二进制的联合仿真框架为代表，将完整的飞控软件栈与物理仿真环境对接，使控制算法在与实机部署完全一致的软件路径上运行。Gazebo 水下仿真插件（包括 `BuoyancyPlugin`、`ThrusterPlugin` 等）可提供附加质量、非线性水动力阻尼、浮力及推进器动态等水下特有的物理建模能力，从而构建能够真实反映水下动力学特征的虚拟验证环境。SITL 可有效暴露通信延迟、调度周期抖动、执行器推力饱和指令映射等系统级非理想因素对控制性能的实际影响，在算法从数值验证走向工程部署的过程中扮演着不可替代的中间验证角色。目前，针对八推进器全向水下航行器在 PX4/Gazebo SITL 框架下整合受约束 MPC 与优化推力分配算法的系统性全链路闭环验证工作，在公开文献中尚属不足。</w:t>
      </w:r>
    </w:p>
    <w:p>
      <w:pPr>
        <w:pStyle w:val="a7"/>
        <w:spacing w:line="360" w:lineRule="auto" w:beforeLines="50" w:before="120" w:afterLines="50" w:after="120"/>
        <w:ind w:firstLine="480" w:firstLineChars="200"/>
      </w:pPr>
      <w:r>
        <w:rPr>
          <w:rFonts w:ascii="Times New Roman" w:hAnsi="Times New Roman" w:cs="Times New Roman" w:eastAsia="黑体"/>
          <w:b w:val="0"/>
          <w:sz w:val="24"/>
        </w:rPr>
        <w:t>2.4 发展趋势与本课题研究切入点</w:t>
      </w:r>
    </w:p>
    <w:p>
      <w:pPr>
        <w:pStyle w:val="a7"/>
        <w:spacing w:line="360" w:lineRule="auto" w:beforeLines="0" w:before="0" w:afterLines="0" w:after="0"/>
        <w:ind w:firstLine="480" w:firstLineChars="200"/>
      </w:pPr>
      <w:r>
        <w:rPr>
          <w:rFonts w:ascii="Times New Roman" w:hAnsi="Times New Roman" w:cs="Times New Roman" w:eastAsia="宋体"/>
          <w:b/>
          <w:sz w:val="24"/>
        </w:rPr>
        <w:t>三大发展趋势。</w:t>
      </w:r>
      <w:r>
        <w:rPr>
          <w:rFonts w:ascii="Times New Roman" w:hAnsi="Times New Roman" w:cs="Times New Roman" w:eastAsia="宋体"/>
          <w:b w:val="0"/>
          <w:sz w:val="24"/>
        </w:rPr>
        <w:t xml:space="preserve"> 综观上述研究现状，学界在水下全向航行器控制领域呈现出三条清晰的演进方向。</w:t>
      </w:r>
    </w:p>
    <w:p>
      <w:pPr>
        <w:pStyle w:val="a7"/>
        <w:spacing w:line="360" w:lineRule="auto" w:beforeLines="0" w:before="0" w:afterLines="0" w:after="0"/>
        <w:ind w:firstLine="480" w:firstLineChars="200"/>
      </w:pPr>
      <w:r>
        <w:rPr>
          <w:rFonts w:ascii="Times New Roman" w:hAnsi="Times New Roman" w:cs="Times New Roman" w:eastAsia="宋体"/>
          <w:b w:val="0"/>
          <w:sz w:val="24"/>
        </w:rPr>
        <w:t>其一，动力学建模正从单一机理方法向</w:t>
      </w:r>
      <w:r>
        <w:rPr>
          <w:rFonts w:ascii="Times New Roman" w:hAnsi="Times New Roman" w:cs="Times New Roman" w:eastAsia="宋体"/>
          <w:b/>
          <w:sz w:val="24"/>
        </w:rPr>
        <w:t>物理引导的机理—数据融合范式</w:t>
      </w:r>
      <w:r>
        <w:rPr>
          <w:rFonts w:ascii="Times New Roman" w:hAnsi="Times New Roman" w:cs="Times New Roman" w:eastAsia="宋体"/>
          <w:b w:val="0"/>
          <w:sz w:val="24"/>
        </w:rPr>
        <w:t>演进，以灰箱结构在物理一致性约束与数据拟合灵活性之间实现互补，预测精度与模型泛化性均获提升。</w:t>
      </w:r>
    </w:p>
    <w:p>
      <w:pPr>
        <w:pStyle w:val="a7"/>
        <w:spacing w:line="360" w:lineRule="auto" w:beforeLines="0" w:before="0" w:afterLines="0" w:after="0"/>
        <w:ind w:firstLine="480" w:firstLineChars="200"/>
      </w:pPr>
      <w:r>
        <w:rPr>
          <w:rFonts w:ascii="Times New Roman" w:hAnsi="Times New Roman" w:cs="Times New Roman" w:eastAsia="宋体"/>
          <w:b w:val="0"/>
          <w:sz w:val="24"/>
        </w:rPr>
        <w:t>其二，运动控制正从单轴解耦反馈向</w:t>
      </w:r>
      <w:r>
        <w:rPr>
          <w:rFonts w:ascii="Times New Roman" w:hAnsi="Times New Roman" w:cs="Times New Roman" w:eastAsia="宋体"/>
          <w:b/>
          <w:sz w:val="24"/>
        </w:rPr>
        <w:t>多变量约束协同优化</w:t>
      </w:r>
      <w:r>
        <w:rPr>
          <w:rFonts w:ascii="Times New Roman" w:hAnsi="Times New Roman" w:cs="Times New Roman" w:eastAsia="宋体"/>
          <w:b w:val="0"/>
          <w:sz w:val="24"/>
        </w:rPr>
        <w:t>演进，MPC 与优化推力分配的一体化或分层协同架构成为多冗余推进器场景下的研究前沿，以期在全局最优分配与实时求解效率间取得有效平衡。</w:t>
      </w:r>
    </w:p>
    <w:p>
      <w:pPr>
        <w:pStyle w:val="a7"/>
        <w:spacing w:line="360" w:lineRule="auto" w:beforeLines="0" w:before="0" w:afterLines="0" w:after="0"/>
        <w:ind w:firstLine="480" w:firstLineChars="200"/>
      </w:pPr>
      <w:r>
        <w:rPr>
          <w:rFonts w:ascii="Times New Roman" w:hAnsi="Times New Roman" w:cs="Times New Roman" w:eastAsia="宋体"/>
          <w:b w:val="0"/>
          <w:sz w:val="24"/>
        </w:rPr>
        <w:t>其三，验证范式正从离线算法仿真向</w:t>
      </w:r>
      <w:r>
        <w:rPr>
          <w:rFonts w:ascii="Times New Roman" w:hAnsi="Times New Roman" w:cs="Times New Roman" w:eastAsia="宋体"/>
          <w:b/>
          <w:sz w:val="24"/>
        </w:rPr>
        <w:t>飞控系统集成的全链路 SITL 闭环验证</w:t>
      </w:r>
      <w:r>
        <w:rPr>
          <w:rFonts w:ascii="Times New Roman" w:hAnsi="Times New Roman" w:cs="Times New Roman" w:eastAsia="宋体"/>
          <w:b w:val="0"/>
          <w:sz w:val="24"/>
        </w:rPr>
        <w:t>演进，以暴露系统级时序非理想因素，提升算法从仿真到实机部署的高置信度迁移能力。</w:t>
      </w:r>
    </w:p>
    <w:p>
      <w:pPr>
        <w:pStyle w:val="a7"/>
        <w:spacing w:line="360" w:lineRule="auto" w:beforeLines="0" w:before="0" w:afterLines="0" w:after="0"/>
        <w:ind w:firstLine="480" w:firstLineChars="200"/>
      </w:pPr>
      <w:r>
        <w:rPr>
          <w:rFonts w:ascii="Times New Roman" w:hAnsi="Times New Roman" w:cs="Times New Roman" w:eastAsia="宋体"/>
          <w:b/>
          <w:sz w:val="24"/>
        </w:rPr>
        <w:t>三大跨层瓶颈与证据缺口。</w:t>
      </w:r>
      <w:r>
        <w:rPr>
          <w:rFonts w:ascii="Times New Roman" w:hAnsi="Times New Roman" w:cs="Times New Roman" w:eastAsia="宋体"/>
          <w:b w:val="0"/>
          <w:sz w:val="24"/>
        </w:rPr>
        <w:t xml:space="preserve"> 综观现有研究，针对八推进器全向水下航行器，前人工作在以下三个层面尚未形成贯通性解决方案。</w:t>
      </w:r>
    </w:p>
    <w:p>
      <w:pPr>
        <w:pStyle w:val="a7"/>
        <w:spacing w:line="360" w:lineRule="auto" w:beforeLines="0" w:before="0" w:afterLines="0" w:after="0"/>
        <w:ind w:firstLine="480" w:firstLineChars="200"/>
      </w:pPr>
      <w:r>
        <w:rPr>
          <w:rFonts w:ascii="Times New Roman" w:hAnsi="Times New Roman" w:cs="Times New Roman" w:eastAsia="宋体"/>
          <w:b/>
          <w:sz w:val="24"/>
        </w:rPr>
        <w:t>模型端：</w:t>
      </w:r>
      <w:r>
        <w:rPr>
          <w:rFonts w:ascii="Times New Roman" w:hAnsi="Times New Roman" w:cs="Times New Roman" w:eastAsia="宋体"/>
          <w:b w:val="0"/>
          <w:sz w:val="24"/>
        </w:rPr>
        <w:t xml:space="preserve"> 现有机理建模在复杂水动力阻尼耦合效应的全速域预测上存在精度局限，CFD 与试验辨识的获取成本较高且难以在线更新；数据驱动方法虽具备拟合复杂非线性的能力，但在训练覆盖不足工况下的泛化稳定性有待保证；物理引导灰箱建模虽展现出融合优势，但如何将其高效嵌入嵌入式实时控制循环，在有限算力约束下保障在线预测的时效性，仍缺乏针对八推进器全向构型的系统性验证。尤其是 SINDy 的阻尼多项式对齐与 Neural ODE 的异步采样连续积分虽在算法层面展现出优势，但其嵌入式部署中的累积时延误差与计算开销边界，均缺乏在该构型下的定量评估。</w:t>
      </w:r>
    </w:p>
    <w:p>
      <w:pPr>
        <w:pStyle w:val="a7"/>
        <w:spacing w:line="360" w:lineRule="auto" w:beforeLines="0" w:before="0" w:afterLines="0" w:after="0"/>
        <w:ind w:firstLine="480" w:firstLineChars="200"/>
      </w:pPr>
      <w:r>
        <w:rPr>
          <w:rFonts w:ascii="Times New Roman" w:hAnsi="Times New Roman" w:cs="Times New Roman" w:eastAsia="宋体"/>
          <w:b/>
          <w:sz w:val="24"/>
        </w:rPr>
        <w:t>控制端：</w:t>
      </w:r>
      <w:r>
        <w:rPr>
          <w:rFonts w:ascii="Times New Roman" w:hAnsi="Times New Roman" w:cs="Times New Roman" w:eastAsia="宋体"/>
          <w:b w:val="0"/>
          <w:sz w:val="24"/>
        </w:rPr>
        <w:t xml:space="preserve"> 现有分层架构中，上层 MPC 的广义力期望与下层推进器实际可达的约束可行域之间存在动态失配风险——当下层推进器饱和时，上层预测模型的自洽性遭到破坏，闭环稳定性与跟踪性能均受影响；一体化协同优化虽可消除层间失配，但其维数增长与非凸求解负担在嵌入式平台上的实时可行性，目前尚缺乏针对八推进器全向布局的充分验证。</w:t>
      </w:r>
    </w:p>
    <w:p>
      <w:pPr>
        <w:pStyle w:val="a7"/>
        <w:spacing w:line="360" w:lineRule="auto" w:beforeLines="0" w:before="0" w:afterLines="0" w:after="0"/>
        <w:ind w:firstLine="480" w:firstLineChars="200"/>
      </w:pPr>
      <w:r>
        <w:rPr>
          <w:rFonts w:ascii="Times New Roman" w:hAnsi="Times New Roman" w:cs="Times New Roman" w:eastAsia="宋体"/>
          <w:b/>
          <w:sz w:val="24"/>
        </w:rPr>
        <w:t>平台端：</w:t>
      </w:r>
      <w:r>
        <w:rPr>
          <w:rFonts w:ascii="Times New Roman" w:hAnsi="Times New Roman" w:cs="Times New Roman" w:eastAsia="宋体"/>
          <w:b w:val="0"/>
          <w:sz w:val="24"/>
        </w:rPr>
        <w:t xml:space="preserve"> PX4 官方水下支持以 PID 为核心控制结构，Control Allocator 混控模块缺乏原生受约束优化分配能力；Offboard 外部控制模式引入的 MAVLink 通信时延（含 `SET_ATTITUDE_TARGET` 等指令的调度抖动）与 PX4 内部控制循环时序不一致对高频闭环控制的影响，以及固件内部实现高阶优化算法的嵌入式算力边界，均尚未在八推进器全向航行器场景下得到系统评估；PX4/Gazebo SITL 框架下配合 `BuoyancyPlugin`、`ThrusterPlugin` 等水动力插件针对该构型的系统级全链路闭环验证工作，在公开文献中尚属缺位。</w:t>
      </w:r>
    </w:p>
    <w:p>
      <w:pPr>
        <w:pStyle w:val="a7"/>
        <w:spacing w:line="360" w:lineRule="auto" w:beforeLines="0" w:before="0" w:afterLines="0" w:after="0"/>
        <w:ind w:firstLine="480" w:firstLineChars="200"/>
      </w:pPr>
      <w:r>
        <w:rPr>
          <w:rFonts w:ascii="Times New Roman" w:hAnsi="Times New Roman" w:cs="Times New Roman" w:eastAsia="宋体"/>
          <w:b/>
          <w:sz w:val="24"/>
        </w:rPr>
        <w:t>本课题切入点与方案牵引。</w:t>
      </w:r>
      <w:r>
        <w:rPr>
          <w:rFonts w:ascii="Times New Roman" w:hAnsi="Times New Roman" w:cs="Times New Roman" w:eastAsia="宋体"/>
          <w:b w:val="0"/>
          <w:sz w:val="24"/>
        </w:rPr>
        <w:t xml:space="preserve"> 针对上述三层跨层瓶颈，本课题拟从以下三个层面贯通展开研究：</w:t>
      </w:r>
    </w:p>
    <w:p>
      <w:pPr>
        <w:pStyle w:val="a7"/>
        <w:spacing w:line="360" w:lineRule="auto" w:beforeLines="0" w:before="0" w:afterLines="0" w:after="0"/>
        <w:ind w:firstLine="480" w:firstLineChars="200"/>
      </w:pPr>
      <w:r>
        <w:rPr>
          <w:rFonts w:ascii="Times New Roman" w:hAnsi="Times New Roman" w:cs="Times New Roman" w:eastAsia="宋体"/>
          <w:b w:val="0"/>
          <w:sz w:val="24"/>
        </w:rPr>
        <w:t>在</w:t>
      </w:r>
      <w:r>
        <w:rPr>
          <w:rFonts w:ascii="Times New Roman" w:hAnsi="Times New Roman" w:cs="Times New Roman" w:eastAsia="宋体"/>
          <w:b/>
          <w:sz w:val="24"/>
        </w:rPr>
        <w:t>模型层</w:t>
      </w:r>
      <w:r>
        <w:rPr>
          <w:rFonts w:ascii="Times New Roman" w:hAnsi="Times New Roman" w:cs="Times New Roman" w:eastAsia="宋体"/>
          <w:b w:val="0"/>
          <w:sz w:val="24"/>
        </w:rPr>
        <w:t>，以 BlueROV2 Heavy 八推进器全向构型为对象，系统比较纯机理建模、CFD/试验辨识与物理引导灰箱建模三类技术路线的预测精度与实时计算代价，构建兼顾物理一致性与嵌入式实时计算需求的控制导向水动力模型，为上层 MPC 提供可靠的在线预测基础。</w:t>
      </w:r>
    </w:p>
    <w:p>
      <w:pPr>
        <w:pStyle w:val="a7"/>
        <w:spacing w:line="360" w:lineRule="auto" w:beforeLines="0" w:before="0" w:afterLines="0" w:after="0"/>
        <w:ind w:firstLine="480" w:firstLineChars="200"/>
      </w:pPr>
      <w:r>
        <w:rPr>
          <w:rFonts w:ascii="Times New Roman" w:hAnsi="Times New Roman" w:cs="Times New Roman" w:eastAsia="宋体"/>
          <w:b w:val="0"/>
          <w:sz w:val="24"/>
        </w:rPr>
        <w:t>在</w:t>
      </w:r>
      <w:r>
        <w:rPr>
          <w:rFonts w:ascii="Times New Roman" w:hAnsi="Times New Roman" w:cs="Times New Roman" w:eastAsia="宋体"/>
          <w:b/>
          <w:sz w:val="24"/>
        </w:rPr>
        <w:t>控制层</w:t>
      </w:r>
      <w:r>
        <w:rPr>
          <w:rFonts w:ascii="Times New Roman" w:hAnsi="Times New Roman" w:cs="Times New Roman" w:eastAsia="宋体"/>
          <w:b w:val="0"/>
          <w:sz w:val="24"/>
        </w:rPr>
        <w:t>，研究分层受约束模型预测控制与多推进器 QP 优化推力分配的协同架构，系统分析层间动态失配的触发机制与控制性能影响，探讨一体化协同优化在八推进器维数下的实时可行性边界，并提出相应的失配抑制策略。</w:t>
      </w:r>
    </w:p>
    <w:p>
      <w:pPr>
        <w:pStyle w:val="a7"/>
        <w:spacing w:line="360" w:lineRule="auto" w:beforeLines="0" w:before="0" w:afterLines="0" w:after="0"/>
        <w:ind w:firstLine="480" w:firstLineChars="200"/>
      </w:pPr>
      <w:r>
        <w:rPr>
          <w:rFonts w:ascii="Times New Roman" w:hAnsi="Times New Roman" w:cs="Times New Roman" w:eastAsia="宋体"/>
          <w:b w:val="0"/>
          <w:sz w:val="24"/>
        </w:rPr>
        <w:t>在</w:t>
      </w:r>
      <w:r>
        <w:rPr>
          <w:rFonts w:ascii="Times New Roman" w:hAnsi="Times New Roman" w:cs="Times New Roman" w:eastAsia="宋体"/>
          <w:b/>
          <w:sz w:val="24"/>
        </w:rPr>
        <w:t>平台层</w:t>
      </w:r>
      <w:r>
        <w:rPr>
          <w:rFonts w:ascii="Times New Roman" w:hAnsi="Times New Roman" w:cs="Times New Roman" w:eastAsia="宋体"/>
          <w:b w:val="0"/>
          <w:sz w:val="24"/>
        </w:rPr>
        <w:t>，探索高阶优化控制算法在 PX4 飞控体系下的接口适配方案（固件内部集成与 Offboard 外部接入的比较），依托 PX4/Gazebo SITL 闭环仿真框架配合水下水动力插件，对建模—控制—分配完整控制链路进行系统级全链路验证，评估通信时延、调度抖动等系统级因素对控制性能的实际影响。</w:t>
      </w:r>
    </w:p>
    <w:p>
      <w:pPr>
        <w:pStyle w:val="a7"/>
        <w:spacing w:line="360" w:lineRule="auto" w:beforeLines="0" w:before="0" w:afterLines="0" w:after="0"/>
        <w:ind w:firstLine="480" w:firstLineChars="200"/>
      </w:pPr>
      <w:r>
        <w:rPr>
          <w:rFonts w:ascii="Times New Roman" w:hAnsi="Times New Roman" w:cs="Times New Roman" w:eastAsia="宋体"/>
          <w:b w:val="0"/>
          <w:sz w:val="24"/>
        </w:rPr>
        <w:t>三层研究内容相互支撑——精确模型为约束 MPC 提供预测基础，协同控制—分配架构为推力约束满足提供保证，SITL 全链路验证则为上述设计在工程系统中的可靠性提供高置信度背书，共同构成后文“主要研究内容与技术方案”的展开基础。</w:t>
      </w:r>
    </w:p>
    <w:permEnd w:id="1319923814"/>
    <w:p w14:paraId="6385DA06" w14:textId="77777777" w:rsidR="00117889" w:rsidRPr="0008585D" w:rsidRDefault="00117889" w:rsidP="005F5E45">
      <w:pPr>
        <w:spacing w:beforeLines="50" w:before="120" w:afterLines="50" w:after="120" w:line="360" w:lineRule="auto"/>
        <w:ind w:firstLine="560" w:firstLineChars="0"/>
        <w:rPr>
          <w:rFonts w:ascii="黑体" w:eastAsia="黑体" w:hint="eastAsia"/>
          <w:sz w:val="28"/>
        </w:rPr>
      </w:pPr>
      <w:r w:rsidRPr="0008585D">
        <w:rPr>
          <w:rFonts w:ascii="Times New Roman" w:eastAsia="黑体" w:hint="eastAsia" w:hAnsi="Times New Roman" w:cs="Times New Roman"/>
          <w:b w:val="0"/>
          <w:sz w:val="28"/>
        </w:rPr>
        <w:t>二、</w:t>
      </w:r>
      <w:permStart w:id="1570139158" w:edGrp="everyone"/>
      <w:r w:rsidR="00F71C2A">
        <w:rPr>
          <w:rFonts w:ascii="Times New Roman" w:eastAsia="黑体" w:hint="eastAsia" w:hAnsi="Times New Roman" w:cs="Times New Roman"/>
          <w:b w:val="0"/>
          <w:sz w:val="28"/>
        </w:rPr>
        <w:t>毕业论文</w:t>
      </w:r>
      <w:permEnd w:id="1570139158"/>
      <w:r w:rsidR="003C56B6" w:rsidRPr="0008585D">
        <w:rPr>
          <w:rFonts w:ascii="Times New Roman" w:eastAsia="黑体" w:hint="eastAsia" w:hAnsi="Times New Roman" w:cs="Times New Roman"/>
          <w:b w:val="0"/>
          <w:sz w:val="28"/>
        </w:rPr>
        <w:t>方案</w:t>
      </w:r>
      <w:r w:rsidR="00137786" w:rsidRPr="0008585D">
        <w:rPr>
          <w:rFonts w:ascii="Times New Roman" w:eastAsia="黑体" w:hint="eastAsia" w:hAnsi="Times New Roman" w:cs="Times New Roman"/>
          <w:b w:val="0"/>
          <w:sz w:val="28"/>
        </w:rPr>
        <w:t>介绍</w:t>
      </w:r>
    </w:p>
    <w:p w14:paraId="2109F3BF" w14:textId="77777777" w:rsidR="00C36A7B" w:rsidRPr="00C45F8C" w:rsidRDefault="00BB4B8B" w:rsidP="00BB4B8B">
      <w:pPr>
        <w:pStyle w:val="a6"/>
        <w:spacing w:before="120" w:after="120" w:line="360" w:lineRule="auto" w:beforeLines="50" w:afterLines="50"/>
        <w:ind w:firstLine="0" w:firstLineChars="0"/>
        <w:rPr>
          <w:rFonts w:ascii="黑体" w:hAnsi="黑体"/>
          <w:sz w:val="24"/>
        </w:rPr>
      </w:pPr>
      <w:permStart w:id="1741359920" w:edGrp="everyone"/>
      <w:r w:rsidRPr="00C45F8C">
        <w:rPr>
          <w:rFonts w:ascii="Times New Roman" w:hAnsi="Times New Roman" w:hint="eastAsia" w:cs="Times New Roman" w:eastAsia="黑体"/>
          <w:b w:val="0"/>
          <w:sz w:val="24"/>
        </w:rPr>
        <w:t>1</w:t>
      </w:r>
      <w:r w:rsidR="00C36A7B" w:rsidRPr="00C45F8C">
        <w:rPr>
          <w:rFonts w:ascii="Times New Roman" w:hAnsi="Times New Roman" w:cs="Times New Roman" w:eastAsia="黑体"/>
          <w:b w:val="0"/>
          <w:sz w:val="24"/>
        </w:rPr>
        <w:t xml:space="preserve">． </w:t>
      </w:r>
      <w:r w:rsidRPr="00C45F8C">
        <w:rPr>
          <w:rFonts w:ascii="Times New Roman" w:hAnsi="Times New Roman" w:hint="eastAsia" w:cs="Times New Roman" w:eastAsia="黑体"/>
          <w:b w:val="0"/>
          <w:sz w:val="24"/>
        </w:rPr>
        <w:t>主要研究内容</w:t>
      </w:r>
      <w:r w:rsidR="00914070" w:rsidRPr="00C45F8C">
        <w:rPr>
          <w:rFonts w:ascii="Times New Roman" w:hAnsi="Times New Roman" w:hint="eastAsia" w:cs="Times New Roman" w:eastAsia="黑体"/>
          <w:b w:val="0"/>
          <w:sz w:val="24"/>
        </w:rPr>
      </w:r>
    </w:p>
    <w:p>
      <w:pPr>
        <w:pStyle w:val="a7"/>
        <w:spacing w:line="360" w:lineRule="auto" w:beforeLines="0" w:before="0" w:afterLines="0" w:after="0"/>
        <w:ind w:firstLine="480" w:firstLineChars="200"/>
      </w:pPr>
      <w:r>
        <w:rPr>
          <w:rFonts w:ascii="Times New Roman" w:hAnsi="Times New Roman" w:cs="Times New Roman" w:eastAsia="宋体"/>
          <w:b w:val="0"/>
          <w:sz w:val="24"/>
        </w:rPr>
        <w:t>（待后续阶段撰写）</w:t>
      </w:r>
    </w:p>
    <w:p w14:paraId="315FC749" w14:textId="77777777" w:rsidR="00C36A7B" w:rsidRPr="00C45F8C" w:rsidRDefault="00BB4B8B" w:rsidP="00BB4B8B">
      <w:pPr>
        <w:pStyle w:val="a6"/>
        <w:spacing w:before="120" w:after="120" w:line="360" w:lineRule="auto" w:beforeLines="50" w:afterLines="50"/>
        <w:ind w:firstLine="0" w:firstLineChars="0"/>
        <w:rPr>
          <w:rFonts w:ascii="黑体" w:hAnsi="黑体"/>
          <w:sz w:val="24"/>
        </w:rPr>
      </w:pPr>
      <w:r w:rsidRPr="00C45F8C">
        <w:rPr>
          <w:rFonts w:ascii="Times New Roman" w:hAnsi="Times New Roman" w:hint="eastAsia" w:cs="Times New Roman" w:eastAsia="黑体"/>
          <w:b w:val="0"/>
          <w:sz w:val="24"/>
        </w:rPr>
        <w:t>2</w:t>
      </w:r>
      <w:r w:rsidR="00C36A7B" w:rsidRPr="00C45F8C">
        <w:rPr>
          <w:rFonts w:ascii="Times New Roman" w:hAnsi="Times New Roman" w:cs="Times New Roman" w:eastAsia="黑体"/>
          <w:b w:val="0"/>
          <w:sz w:val="24"/>
        </w:rPr>
        <w:t xml:space="preserve">． </w:t>
      </w:r>
      <w:r w:rsidRPr="00C45F8C">
        <w:rPr>
          <w:rFonts w:ascii="Times New Roman" w:hAnsi="Times New Roman" w:hint="eastAsia" w:cs="Times New Roman" w:eastAsia="黑体"/>
          <w:b w:val="0"/>
          <w:sz w:val="24"/>
        </w:rPr>
        <w:t>研究方案</w:t>
      </w:r>
      <w:r w:rsidR="00914070" w:rsidRPr="00C45F8C">
        <w:rPr>
          <w:rFonts w:ascii="Times New Roman" w:hAnsi="Times New Roman" w:hint="eastAsia" w:cs="Times New Roman" w:eastAsia="黑体"/>
          <w:b w:val="0"/>
          <w:sz w:val="24"/>
        </w:rPr>
      </w:r>
    </w:p>
    <w:p>
      <w:pPr>
        <w:pStyle w:val="a7"/>
        <w:spacing w:line="360" w:lineRule="auto" w:beforeLines="0" w:before="0" w:afterLines="0" w:after="0"/>
        <w:ind w:firstLine="480" w:firstLineChars="200"/>
      </w:pPr>
      <w:r>
        <w:rPr>
          <w:rFonts w:ascii="Times New Roman" w:hAnsi="Times New Roman" w:cs="Times New Roman" w:eastAsia="宋体"/>
          <w:b w:val="0"/>
          <w:sz w:val="24"/>
        </w:rPr>
        <w:t>（待后续阶段撰写）</w:t>
      </w:r>
    </w:p>
    <w:p w14:paraId="6D664144" w14:textId="77777777" w:rsidR="00676ECD" w:rsidRPr="00C45F8C" w:rsidRDefault="00BB4B8B" w:rsidP="000B4F99">
      <w:pPr>
        <w:pStyle w:val="a6"/>
        <w:spacing w:before="120" w:after="120" w:line="360" w:lineRule="auto" w:beforeLines="50" w:afterLines="50"/>
        <w:ind w:firstLine="0" w:firstLineChars="0"/>
        <w:rPr>
          <w:rFonts w:ascii="黑体" w:hAnsi="黑体" w:hint="eastAsia"/>
          <w:sz w:val="24"/>
        </w:rPr>
      </w:pPr>
      <w:r w:rsidRPr="00C45F8C">
        <w:rPr>
          <w:rFonts w:ascii="Times New Roman" w:hAnsi="Times New Roman" w:hint="eastAsia" w:cs="Times New Roman" w:eastAsia="黑体"/>
          <w:b w:val="0"/>
          <w:sz w:val="24"/>
        </w:rPr>
        <w:t>3</w:t>
      </w:r>
      <w:r w:rsidR="00C36A7B" w:rsidRPr="00C45F8C">
        <w:rPr>
          <w:rFonts w:ascii="Times New Roman" w:hAnsi="Times New Roman" w:cs="Times New Roman" w:eastAsia="黑体"/>
          <w:b w:val="0"/>
          <w:sz w:val="24"/>
        </w:rPr>
        <w:t xml:space="preserve">． </w:t>
      </w:r>
      <w:r w:rsidR="00C36A7B" w:rsidRPr="00C45F8C">
        <w:rPr>
          <w:rFonts w:ascii="Times New Roman" w:hAnsi="Times New Roman" w:hint="eastAsia" w:cs="Times New Roman" w:eastAsia="黑体"/>
          <w:b w:val="0"/>
          <w:sz w:val="24"/>
        </w:rPr>
        <w:t>工作</w:t>
      </w:r>
      <w:r w:rsidR="009672BC" w:rsidRPr="00C45F8C">
        <w:rPr>
          <w:rFonts w:ascii="Times New Roman" w:hAnsi="Times New Roman" w:cs="Times New Roman" w:eastAsia="黑体"/>
          <w:b w:val="0"/>
          <w:sz w:val="24"/>
        </w:rPr>
        <w:t>进度安排</w:t>
      </w:r>
    </w:p>
    <w:p>
      <w:pPr>
        <w:pStyle w:val="a7"/>
        <w:spacing w:line="360" w:lineRule="auto" w:beforeLines="0" w:before="0" w:afterLines="0" w:after="0"/>
        <w:ind w:firstLine="480" w:firstLineChars="200"/>
      </w:pPr>
      <w:r>
        <w:rPr>
          <w:rFonts w:ascii="Times New Roman" w:hAnsi="Times New Roman" w:cs="Times New Roman" w:eastAsia="宋体"/>
          <w:b w:val="0"/>
          <w:sz w:val="24"/>
        </w:rPr>
        <w:t>（待后续阶段撰写）</w:t>
      </w:r>
    </w:p>
    <w:permEnd w:id="1741359920"/>
    <w:p w14:paraId="41E5FE5D" w14:textId="77777777" w:rsidR="00117889" w:rsidRPr="0008585D" w:rsidRDefault="00117889" w:rsidP="005F5E45">
      <w:pPr>
        <w:spacing w:beforeLines="50" w:before="120" w:afterLines="50" w:after="120" w:line="360" w:lineRule="auto"/>
        <w:ind w:firstLine="560" w:firstLineChars="0"/>
        <w:rPr>
          <w:rFonts w:ascii="黑体" w:eastAsia="黑体" w:hint="eastAsia"/>
          <w:sz w:val="28"/>
        </w:rPr>
      </w:pPr>
      <w:r w:rsidRPr="0008585D">
        <w:rPr>
          <w:rFonts w:ascii="Times New Roman" w:eastAsia="黑体" w:hint="eastAsia" w:hAnsi="Times New Roman" w:cs="Times New Roman"/>
          <w:b w:val="0"/>
          <w:sz w:val="28"/>
        </w:rPr>
        <w:t>三、</w:t>
      </w:r>
      <w:permStart w:id="663169277" w:edGrp="everyone"/>
      <w:r w:rsidR="00F71C2A">
        <w:rPr>
          <w:rFonts w:ascii="Times New Roman" w:eastAsia="黑体" w:hint="eastAsia" w:hAnsi="Times New Roman" w:cs="Times New Roman"/>
          <w:b w:val="0"/>
          <w:sz w:val="28"/>
        </w:rPr>
        <w:t>毕业论文</w:t>
      </w:r>
      <w:permEnd w:id="663169277"/>
      <w:r w:rsidRPr="0008585D">
        <w:rPr>
          <w:rFonts w:ascii="Times New Roman" w:eastAsia="黑体" w:hint="eastAsia" w:hAnsi="Times New Roman" w:cs="Times New Roman"/>
          <w:b w:val="0"/>
          <w:sz w:val="28"/>
        </w:rPr>
        <w:t>的</w:t>
      </w:r>
      <w:r w:rsidR="003C56B6" w:rsidRPr="0008585D">
        <w:rPr>
          <w:rFonts w:ascii="Times New Roman" w:eastAsia="黑体" w:hint="eastAsia" w:hAnsi="Times New Roman" w:cs="Times New Roman"/>
          <w:b w:val="0"/>
          <w:sz w:val="28"/>
        </w:rPr>
        <w:t>主要参考文献</w:t>
      </w:r>
    </w:p>
    <w:p w14:paraId="2F5BFBEB" w14:textId="77777777" w:rsidR="0008585D" w:rsidRPr="00C45F8C" w:rsidRDefault="0008585D" w:rsidP="00C45F8C">
      <w:pPr>
        <w:pStyle w:val="a9"/>
        <w:rPr>
          <w:rFonts w:ascii="宋体" w:hAnsi="宋体"/>
        </w:rPr>
        <w:spacing w:line="360" w:lineRule="auto" w:beforeLines="0" w:before="0" w:afterLines="0" w:after="0"/>
        <w:ind w:left="420" w:hanging="420"/>
      </w:pPr>
      <w:permStart w:id="61024898" w:edGrp="everyone"/>
      <w:r>
        <w:rPr>
          <w:rFonts w:ascii="Times New Roman" w:hAnsi="Times New Roman" w:cs="Times New Roman" w:eastAsia="宋体"/>
          <w:b w:val="0"/>
          <w:sz w:val="24"/>
        </w:rPr>
        <w:t>[1] 工业和信息化部, 国家发展和改革委员会, 科学技术部, 等. "十四五"机器人产业发展规划[J]. 中华人民共和国工业和信息化部公报, 2021(12): 20-27.</w:t>
      </w:r>
    </w:p>
    <w:p>
      <w:pPr>
        <w:pStyle w:val="a9"/>
        <w:spacing w:line="360" w:lineRule="auto" w:beforeLines="0" w:before="0" w:afterLines="0" w:after="0"/>
        <w:ind w:left="420" w:hanging="420"/>
      </w:pPr>
      <w:r>
        <w:rPr>
          <w:rFonts w:ascii="Times New Roman" w:hAnsi="Times New Roman" w:cs="Times New Roman" w:eastAsia="宋体"/>
          <w:b w:val="0"/>
          <w:sz w:val="24"/>
        </w:rPr>
        <w:t>[2] 工业和信息化部, 教育部, 科学技术部, 等. "机器人+"应用行动实施方案[J]. 中华人民共和国工业和信息化部公报, 2023(1): 18-24.</w:t>
      </w:r>
    </w:p>
    <w:p>
      <w:pPr>
        <w:pStyle w:val="a9"/>
        <w:spacing w:line="360" w:lineRule="auto" w:beforeLines="0" w:before="0" w:afterLines="0" w:after="0"/>
        <w:ind w:left="420" w:hanging="420"/>
      </w:pPr>
      <w:r>
        <w:rPr>
          <w:rFonts w:ascii="Times New Roman" w:hAnsi="Times New Roman" w:cs="Times New Roman" w:eastAsia="宋体"/>
          <w:b w:val="0"/>
          <w:sz w:val="24"/>
        </w:rPr>
        <w:t>[3] FOSSEN T I. Handbook of Marine Craft Hydrodynamics and Motion Control[M]. 2nd ed. Chichester, UK: John Wiley &amp; Sons, 2021.</w:t>
      </w:r>
    </w:p>
    <w:p>
      <w:pPr>
        <w:pStyle w:val="a9"/>
        <w:spacing w:line="360" w:lineRule="auto" w:beforeLines="0" w:before="0" w:afterLines="0" w:after="0"/>
        <w:ind w:left="420" w:hanging="420"/>
      </w:pPr>
      <w:r>
        <w:rPr>
          <w:rFonts w:ascii="Times New Roman" w:hAnsi="Times New Roman" w:cs="Times New Roman" w:eastAsia="宋体"/>
          <w:b w:val="0"/>
          <w:sz w:val="24"/>
        </w:rPr>
        <w:t>[4] PX4 Development Team. Submarines (Unmanned Underwater Vehicles—UUV)[EB/OL]. (2024)[2026-10-10]. https://docs.px4.io/main/en/frames_sub/index.</w:t>
      </w:r>
    </w:p>
    <w:p>
      <w:pPr>
        <w:pStyle w:val="a9"/>
        <w:spacing w:line="360" w:lineRule="auto" w:beforeLines="0" w:before="0" w:afterLines="0" w:after="0"/>
        <w:ind w:left="420" w:hanging="420"/>
      </w:pPr>
      <w:r>
        <w:rPr>
          <w:rFonts w:ascii="Times New Roman" w:hAnsi="Times New Roman" w:cs="Times New Roman" w:eastAsia="宋体"/>
          <w:b w:val="0"/>
          <w:sz w:val="24"/>
        </w:rPr>
        <w:t>[5] FOSSEN T I. Nonlinear modelling of marine vehicles in 6 degrees of freedom[J]. Mathematical Modelling of Systems, 1995, 1(1): 17-27.</w:t>
      </w:r>
    </w:p>
    <w:p>
      <w:pPr>
        <w:pStyle w:val="a9"/>
        <w:spacing w:line="360" w:lineRule="auto" w:beforeLines="0" w:before="0" w:afterLines="0" w:after="0"/>
        <w:ind w:left="420" w:hanging="420"/>
      </w:pPr>
      <w:r>
        <w:rPr>
          <w:rFonts w:ascii="Times New Roman" w:hAnsi="Times New Roman" w:cs="Times New Roman" w:eastAsia="宋体"/>
          <w:b w:val="0"/>
          <w:sz w:val="24"/>
        </w:rPr>
        <w:t>[6] 严卫生, 高剑, 崔荣鑫, 等. 水下航行器控制技术[M]. 北京: 国防工业出版社, 2020.</w:t>
      </w:r>
    </w:p>
    <w:p>
      <w:pPr>
        <w:pStyle w:val="a9"/>
        <w:spacing w:line="360" w:lineRule="auto" w:beforeLines="0" w:before="0" w:afterLines="0" w:after="0"/>
        <w:ind w:left="420" w:hanging="420"/>
      </w:pPr>
      <w:r>
        <w:rPr>
          <w:rFonts w:ascii="Times New Roman" w:hAnsi="Times New Roman" w:cs="Times New Roman" w:eastAsia="宋体"/>
          <w:b w:val="0"/>
          <w:sz w:val="24"/>
        </w:rPr>
        <w:t>[7] PRESTERO T. Verification of a six-degree of freedom simulation model for the REMUS autonomous underwater vehicle[D]. Cambridge, MA: Massachusetts Institute of Technology, 2001.</w:t>
      </w:r>
    </w:p>
    <w:p>
      <w:pPr>
        <w:pStyle w:val="a9"/>
        <w:spacing w:line="360" w:lineRule="auto" w:beforeLines="0" w:before="0" w:afterLines="0" w:after="0"/>
        <w:ind w:left="420" w:hanging="420"/>
      </w:pPr>
      <w:r>
        <w:rPr>
          <w:rFonts w:ascii="Times New Roman" w:hAnsi="Times New Roman" w:cs="Times New Roman" w:eastAsia="宋体"/>
          <w:b w:val="0"/>
          <w:sz w:val="24"/>
        </w:rPr>
        <w:t>[8] CACCIA M, INDIVERI G, VERUGGIO G. Modeling and identification of open-frame variable configuration unmanned underwater vehicles[J]. IEEE Journal of Oceanic Engineering, 2000, 25(2): 227-240.</w:t>
      </w:r>
    </w:p>
    <w:p>
      <w:pPr>
        <w:pStyle w:val="a9"/>
        <w:spacing w:line="360" w:lineRule="auto" w:beforeLines="0" w:before="0" w:afterLines="0" w:after="0"/>
        <w:ind w:left="420" w:hanging="420"/>
      </w:pPr>
      <w:r>
        <w:rPr>
          <w:rFonts w:ascii="Times New Roman" w:hAnsi="Times New Roman" w:cs="Times New Roman" w:eastAsia="宋体"/>
          <w:b w:val="0"/>
          <w:sz w:val="24"/>
        </w:rPr>
        <w:t>[9] SMALLWOOD D A, WHITCOMB L L. Model-based dynamic positioning of underwater robotic vehicles: Theory and experiment[J]. IEEE Journal of Oceanic Engineering, 2004, 29(1): 169-186.</w:t>
      </w:r>
    </w:p>
    <w:p>
      <w:pPr>
        <w:pStyle w:val="a9"/>
        <w:spacing w:line="360" w:lineRule="auto" w:beforeLines="0" w:before="0" w:afterLines="0" w:after="0"/>
        <w:ind w:left="420" w:hanging="420"/>
      </w:pPr>
      <w:r>
        <w:rPr>
          <w:rFonts w:ascii="Times New Roman" w:hAnsi="Times New Roman" w:cs="Times New Roman" w:eastAsia="宋体"/>
          <w:b w:val="0"/>
          <w:sz w:val="24"/>
        </w:rPr>
        <w:t>[10] VON BENZON M, SØRENSEN F F, UTH E, et al. An open-source benchmark simulator: Control of a BlueROV2 underwater robot[J]. Journal of Marine Science and Engineering, 2022, 10(12): 1898.</w:t>
      </w:r>
    </w:p>
    <w:p>
      <w:pPr>
        <w:pStyle w:val="a9"/>
        <w:spacing w:line="360" w:lineRule="auto" w:beforeLines="0" w:before="0" w:afterLines="0" w:after="0"/>
        <w:ind w:left="420" w:hanging="420"/>
      </w:pPr>
      <w:r>
        <w:rPr>
          <w:rFonts w:ascii="Times New Roman" w:hAnsi="Times New Roman" w:cs="Times New Roman" w:eastAsia="宋体"/>
          <w:b w:val="0"/>
          <w:sz w:val="24"/>
        </w:rPr>
        <w:t>[11] 高婷, 庞永杰, 王亚兴, 等. 水下航行器水动力系数计算方法[J]. 哈尔滨工程大学学报, 2019, 40(1): 174-180.</w:t>
      </w:r>
    </w:p>
    <w:p>
      <w:pPr>
        <w:pStyle w:val="a9"/>
        <w:spacing w:line="360" w:lineRule="auto" w:beforeLines="0" w:before="0" w:afterLines="0" w:after="0"/>
        <w:ind w:left="420" w:hanging="420"/>
      </w:pPr>
      <w:r>
        <w:rPr>
          <w:rFonts w:ascii="Times New Roman" w:hAnsi="Times New Roman" w:cs="Times New Roman" w:eastAsia="宋体"/>
          <w:b w:val="0"/>
          <w:sz w:val="24"/>
        </w:rPr>
        <w:t>[12] CHIN C S, LAU M W S. Modeling and testing of hydrodynamic damping for a complex-shaped underwater robot operating at low speed[C]//2012 Oceans - Yeosu. Yeosu, Korea: IEEE, 2012: 1-7.</w:t>
      </w:r>
    </w:p>
    <w:p>
      <w:pPr>
        <w:pStyle w:val="a9"/>
        <w:spacing w:line="360" w:lineRule="auto" w:beforeLines="0" w:before="0" w:afterLines="0" w:after="0"/>
        <w:ind w:left="420" w:hanging="420"/>
      </w:pPr>
      <w:r>
        <w:rPr>
          <w:rFonts w:ascii="Times New Roman" w:hAnsi="Times New Roman" w:cs="Times New Roman" w:eastAsia="宋体"/>
          <w:b w:val="0"/>
          <w:sz w:val="24"/>
        </w:rPr>
        <w:t>[13] ROSS A, FOSSEN T I, JOHANSEN T A. Identification of underwater vehicle hydrodynamic coefficients using free decay tests[C]//IFAC Conference on Control Applications in Marine Systems. Ancona, Italy: IFAC, 2004: 363-368.</w:t>
      </w:r>
    </w:p>
    <w:p>
      <w:pPr>
        <w:pStyle w:val="a9"/>
        <w:spacing w:line="360" w:lineRule="auto" w:beforeLines="0" w:before="0" w:afterLines="0" w:after="0"/>
        <w:ind w:left="420" w:hanging="420"/>
      </w:pPr>
      <w:r>
        <w:rPr>
          <w:rFonts w:ascii="Times New Roman" w:hAnsi="Times New Roman" w:cs="Times New Roman" w:eastAsia="宋体"/>
          <w:b w:val="0"/>
          <w:sz w:val="24"/>
        </w:rPr>
        <w:t>[14] AVILA J P J, ADAMOWSKI J C. Experimental model identification of open-frame unmanned underwater vehicles[C]//2013 Oceans - San Diego. San Diego, CA: IEEE, 2013: 1-7.</w:t>
      </w:r>
    </w:p>
    <w:p>
      <w:pPr>
        <w:pStyle w:val="a9"/>
        <w:spacing w:line="360" w:lineRule="auto" w:beforeLines="0" w:before="0" w:afterLines="0" w:after="0"/>
        <w:ind w:left="420" w:hanging="420"/>
      </w:pPr>
      <w:r>
        <w:rPr>
          <w:rFonts w:ascii="Times New Roman" w:hAnsi="Times New Roman" w:cs="Times New Roman" w:eastAsia="宋体"/>
          <w:b w:val="0"/>
          <w:sz w:val="24"/>
        </w:rPr>
        <w:t>[15] HARRIS Z J, MAO A M, PAINE T M, et al. Stable nullspace adaptive parameter identification of 6 degree-of-freedom plant and actuator models for underactuated vehicles: Theory and experimental evaluation[J]. The International Journal of Robotics Research, 2023, 42(12): 1070-1093.</w:t>
      </w:r>
    </w:p>
    <w:p>
      <w:pPr>
        <w:pStyle w:val="a9"/>
        <w:spacing w:line="360" w:lineRule="auto" w:beforeLines="0" w:before="0" w:afterLines="0" w:after="0"/>
        <w:ind w:left="420" w:hanging="420"/>
      </w:pPr>
      <w:r>
        <w:rPr>
          <w:rFonts w:ascii="Times New Roman" w:hAnsi="Times New Roman" w:cs="Times New Roman" w:eastAsia="宋体"/>
          <w:b w:val="0"/>
          <w:sz w:val="24"/>
        </w:rPr>
        <w:t>[16] BRUNTON S L, PROCTOR J L, KUTZ J N. Discovering governing equations from data by sparse identification of nonlinear dynamical systems[J]. Proceedings of the National Academy of Sciences, 2016, 113(15): 3932-3937.</w:t>
      </w:r>
    </w:p>
    <w:p>
      <w:pPr>
        <w:pStyle w:val="a9"/>
        <w:spacing w:line="360" w:lineRule="auto" w:beforeLines="0" w:before="0" w:afterLines="0" w:after="0"/>
        <w:ind w:left="420" w:hanging="420"/>
      </w:pPr>
      <w:r>
        <w:rPr>
          <w:rFonts w:ascii="Times New Roman" w:hAnsi="Times New Roman" w:cs="Times New Roman" w:eastAsia="宋体"/>
          <w:b w:val="0"/>
          <w:sz w:val="24"/>
        </w:rPr>
        <w:t>[17] RAISSI M, PERDIKARIS P, KARNIADAKIS G E. Physics-informed neural networks: A deep learning framework for solving forward and inverse problems involving nonlinear partial differential equations[J]. Journal of Computational Physics, 2019, 378: 686-707.</w:t>
      </w:r>
    </w:p>
    <w:p>
      <w:pPr>
        <w:pStyle w:val="a9"/>
        <w:spacing w:line="360" w:lineRule="auto" w:beforeLines="0" w:before="0" w:afterLines="0" w:after="0"/>
        <w:ind w:left="420" w:hanging="420"/>
      </w:pPr>
      <w:r>
        <w:rPr>
          <w:rFonts w:ascii="Times New Roman" w:hAnsi="Times New Roman" w:cs="Times New Roman" w:eastAsia="宋体"/>
          <w:b w:val="0"/>
          <w:sz w:val="24"/>
        </w:rPr>
        <w:t>[18] CHEN R T Q, RUBANOVA Y, BETTENCOURT J, et al. Neural ordinary differential equations[C]//Advances in Neural Information Processing Systems (NeurIPS 2018). Montréal, QC, Canada, 2018: 6571-6583.</w:t>
      </w:r>
    </w:p>
    <w:p>
      <w:pPr>
        <w:pStyle w:val="a9"/>
        <w:spacing w:line="360" w:lineRule="auto" w:beforeLines="0" w:before="0" w:afterLines="0" w:after="0"/>
        <w:ind w:left="420" w:hanging="420"/>
      </w:pPr>
      <w:r>
        <w:rPr>
          <w:rFonts w:ascii="Times New Roman" w:hAnsi="Times New Roman" w:cs="Times New Roman" w:eastAsia="宋体"/>
          <w:b w:val="0"/>
          <w:sz w:val="24"/>
        </w:rPr>
        <w:t>[19] LIU A, ZHANG X, XIAO F, et al. Koopman-based online identification with Sim2Real transfer for hydrodynamic modeling of turtle-inspired robot[J]. IEEE Robotics and Automation Letters, 2026, 11(6): 6632-6639.</w:t>
      </w:r>
    </w:p>
    <w:p>
      <w:pPr>
        <w:pStyle w:val="a9"/>
        <w:spacing w:line="360" w:lineRule="auto" w:beforeLines="0" w:before="0" w:afterLines="0" w:after="0"/>
        <w:ind w:left="420" w:hanging="420"/>
      </w:pPr>
      <w:r>
        <w:rPr>
          <w:rFonts w:ascii="Times New Roman" w:hAnsi="Times New Roman" w:cs="Times New Roman" w:eastAsia="宋体"/>
          <w:b w:val="0"/>
          <w:sz w:val="24"/>
        </w:rPr>
        <w:t>[20] YUH J. Design and control of autonomous underwater robots: A survey[J]. Autonomous Robots, 2000, 8(1): 7-24.</w:t>
      </w:r>
    </w:p>
    <w:p>
      <w:pPr>
        <w:pStyle w:val="a9"/>
        <w:spacing w:line="360" w:lineRule="auto" w:beforeLines="0" w:before="0" w:afterLines="0" w:after="0"/>
        <w:ind w:left="420" w:hanging="420"/>
      </w:pPr>
      <w:r>
        <w:rPr>
          <w:rFonts w:ascii="Times New Roman" w:hAnsi="Times New Roman" w:cs="Times New Roman" w:eastAsia="宋体"/>
          <w:b w:val="0"/>
          <w:sz w:val="24"/>
        </w:rPr>
        <w:t>[21] 朱大奇, 孙兵. 水下机器人运动控制研究进展[J]. 控制与决策, 2012, 27(3): 321-333.</w:t>
      </w:r>
    </w:p>
    <w:p>
      <w:pPr>
        <w:pStyle w:val="a9"/>
        <w:spacing w:line="360" w:lineRule="auto" w:beforeLines="0" w:before="0" w:afterLines="0" w:after="0"/>
        <w:ind w:left="420" w:hanging="420"/>
      </w:pPr>
      <w:r>
        <w:rPr>
          <w:rFonts w:ascii="Times New Roman" w:hAnsi="Times New Roman" w:cs="Times New Roman" w:eastAsia="宋体"/>
          <w:b w:val="0"/>
          <w:sz w:val="24"/>
        </w:rPr>
        <w:t>[22] YOERGER D R, SLOTINE J J E. Robust trajectory control of underwater vehicles[J]. IEEE Journal of Oceanic Engineering, 1985, 10(4): 462-470.</w:t>
      </w:r>
    </w:p>
    <w:p>
      <w:pPr>
        <w:pStyle w:val="a9"/>
        <w:spacing w:line="360" w:lineRule="auto" w:beforeLines="0" w:before="0" w:afterLines="0" w:after="0"/>
        <w:ind w:left="420" w:hanging="420"/>
      </w:pPr>
      <w:r>
        <w:rPr>
          <w:rFonts w:ascii="Times New Roman" w:hAnsi="Times New Roman" w:cs="Times New Roman" w:eastAsia="宋体"/>
          <w:b w:val="0"/>
          <w:sz w:val="24"/>
        </w:rPr>
        <w:t>[23] HEALEY A J, LIENARD D. Multivariable sliding mode control for autonomous diving and steering of unmanned underwater vehicles[J]. IEEE Journal of Oceanic Engineering, 1993, 18(3): 327-339.</w:t>
      </w:r>
    </w:p>
    <w:p>
      <w:pPr>
        <w:pStyle w:val="a9"/>
        <w:spacing w:line="360" w:lineRule="auto" w:beforeLines="0" w:before="0" w:afterLines="0" w:after="0"/>
        <w:ind w:left="420" w:hanging="420"/>
      </w:pPr>
      <w:r>
        <w:rPr>
          <w:rFonts w:ascii="Times New Roman" w:hAnsi="Times New Roman" w:cs="Times New Roman" w:eastAsia="宋体"/>
          <w:b w:val="0"/>
          <w:sz w:val="24"/>
        </w:rPr>
        <w:t>[24] CHU Z, XIANG X, ZHU D, et al. Adaptive trajectory tracking control for remotely operated vehicles considering thruster dynamics and saturation constraints[J]. ISA Transactions, 2020, 100: 28-37.</w:t>
      </w:r>
    </w:p>
    <w:p>
      <w:pPr>
        <w:pStyle w:val="a9"/>
        <w:spacing w:line="360" w:lineRule="auto" w:beforeLines="0" w:before="0" w:afterLines="0" w:after="0"/>
        <w:ind w:left="420" w:hanging="420"/>
      </w:pPr>
      <w:r>
        <w:rPr>
          <w:rFonts w:ascii="Times New Roman" w:hAnsi="Times New Roman" w:cs="Times New Roman" w:eastAsia="宋体"/>
          <w:b w:val="0"/>
          <w:sz w:val="24"/>
        </w:rPr>
        <w:t>[25] 张磊, 严卫生, 付明玉. 自主水下航行器模型预测控制研究现状与展望[J]. 控制理论与应用, 2018, 35(9): 1181-1192.</w:t>
      </w:r>
    </w:p>
    <w:p>
      <w:pPr>
        <w:pStyle w:val="a9"/>
        <w:spacing w:line="360" w:lineRule="auto" w:beforeLines="0" w:before="0" w:afterLines="0" w:after="0"/>
        <w:ind w:left="420" w:hanging="420"/>
      </w:pPr>
      <w:r>
        <w:rPr>
          <w:rFonts w:ascii="Times New Roman" w:hAnsi="Times New Roman" w:cs="Times New Roman" w:eastAsia="宋体"/>
          <w:b w:val="0"/>
          <w:sz w:val="24"/>
        </w:rPr>
        <w:t>[26] HESHMATI-ALAMDARI S, KARRAS G C, MARANTOS P, et al. A robust model predictive control approach for autonomous underwater vehicles operating in a constrained workspace[C]//2018 IEEE International Conference on Robotics and Automation (ICRA). Brisbane, QLD, Australia: IEEE, 2018: 6183-6188.</w:t>
      </w:r>
    </w:p>
    <w:p>
      <w:pPr>
        <w:pStyle w:val="a9"/>
        <w:spacing w:line="360" w:lineRule="auto" w:beforeLines="0" w:before="0" w:afterLines="0" w:after="0"/>
        <w:ind w:left="420" w:hanging="420"/>
      </w:pPr>
      <w:r>
        <w:rPr>
          <w:rFonts w:ascii="Times New Roman" w:hAnsi="Times New Roman" w:cs="Times New Roman" w:eastAsia="宋体"/>
          <w:b w:val="0"/>
          <w:sz w:val="24"/>
        </w:rPr>
        <w:t>[27] HESHMATI-ALAMDARI S, NIKOU A, DIMAROGONAS D V. Robust trajectory tracking control for underactuated autonomous underwater vehicles in uncertain environments[J]. IEEE Transactions on Automation Science and Engineering, 2020, 18(3): 1288-1301.</w:t>
      </w:r>
    </w:p>
    <w:p>
      <w:pPr>
        <w:pStyle w:val="a9"/>
        <w:spacing w:line="360" w:lineRule="auto" w:beforeLines="0" w:before="0" w:afterLines="0" w:after="0"/>
        <w:ind w:left="420" w:hanging="420"/>
      </w:pPr>
      <w:r>
        <w:rPr>
          <w:rFonts w:ascii="Times New Roman" w:hAnsi="Times New Roman" w:cs="Times New Roman" w:eastAsia="宋体"/>
          <w:b w:val="0"/>
          <w:sz w:val="24"/>
        </w:rPr>
        <w:t>[28] JOHANSEN T A, FOSSEN T I. Control allocation: A survey[J]. Automatica, 2013, 49(5): 1087-1103.</w:t>
      </w:r>
    </w:p>
    <w:p>
      <w:pPr>
        <w:pStyle w:val="a9"/>
        <w:spacing w:line="360" w:lineRule="auto" w:beforeLines="0" w:before="0" w:afterLines="0" w:after="0"/>
        <w:ind w:left="420" w:hanging="420"/>
      </w:pPr>
      <w:r>
        <w:rPr>
          <w:rFonts w:ascii="Times New Roman" w:hAnsi="Times New Roman" w:cs="Times New Roman" w:eastAsia="宋体"/>
          <w:b w:val="0"/>
          <w:sz w:val="24"/>
        </w:rPr>
        <w:t>[29] BODSON M. Evaluation of optimization methods for control allocation[J]. Journal of Guidance, Control, and Dynamics, 2002, 25(4): 703-711.</w:t>
      </w:r>
    </w:p>
    <w:p>
      <w:pPr>
        <w:pStyle w:val="a9"/>
        <w:spacing w:line="360" w:lineRule="auto" w:beforeLines="0" w:before="0" w:afterLines="0" w:after="0"/>
        <w:ind w:left="420" w:hanging="420"/>
      </w:pPr>
      <w:r>
        <w:rPr>
          <w:rFonts w:ascii="Times New Roman" w:hAnsi="Times New Roman" w:cs="Times New Roman" w:eastAsia="宋体"/>
          <w:b w:val="0"/>
          <w:sz w:val="24"/>
        </w:rPr>
        <w:t>[30] HÄRKEGÅRD O. Efficient active set algorithms for solving constrained linear quadratic control allocation problems[J]. Journal of Guidance, Control, and Dynamics, 2002, 25(5): 827-835.</w:t>
      </w:r>
    </w:p>
    <w:p>
      <w:pPr>
        <w:pStyle w:val="a9"/>
        <w:spacing w:line="360" w:lineRule="auto" w:beforeLines="0" w:before="0" w:afterLines="0" w:after="0"/>
        <w:ind w:left="420" w:hanging="420"/>
      </w:pPr>
      <w:r>
        <w:rPr>
          <w:rFonts w:ascii="Times New Roman" w:hAnsi="Times New Roman" w:cs="Times New Roman" w:eastAsia="宋体"/>
          <w:b w:val="0"/>
          <w:sz w:val="24"/>
        </w:rPr>
        <w:t>[31] 程卫平, 王猛, 曾现敏, 等. 基于可行方向法的水下机器人推力分配[J]. 舰船科学技术, 2022, 44(13): 102-106.</w:t>
      </w:r>
    </w:p>
    <w:p>
      <w:pPr>
        <w:pStyle w:val="a9"/>
        <w:spacing w:line="360" w:lineRule="auto" w:beforeLines="0" w:before="0" w:afterLines="0" w:after="0"/>
        <w:ind w:left="420" w:hanging="420"/>
      </w:pPr>
      <w:r>
        <w:rPr>
          <w:rFonts w:ascii="Times New Roman" w:hAnsi="Times New Roman" w:cs="Times New Roman" w:eastAsia="宋体"/>
          <w:b w:val="0"/>
          <w:sz w:val="24"/>
        </w:rPr>
        <w:t>[32] 孙功武, 苏义鑫, 毛英, 等. 基于模糊逻辑的混合推进ROV多级推力分配策略[J]. 机器人, 2023, 45(4): 472-482.</w:t>
      </w:r>
    </w:p>
    <w:p>
      <w:pPr>
        <w:pStyle w:val="a9"/>
        <w:spacing w:line="360" w:lineRule="auto" w:beforeLines="0" w:before="0" w:afterLines="0" w:after="0"/>
        <w:ind w:left="420" w:hanging="420"/>
      </w:pPr>
      <w:r>
        <w:rPr>
          <w:rFonts w:ascii="Times New Roman" w:hAnsi="Times New Roman" w:cs="Times New Roman" w:eastAsia="宋体"/>
          <w:b w:val="0"/>
          <w:sz w:val="24"/>
        </w:rPr>
        <w:t>[33] LI J H, LEE M J, KIM M G, et al. MCE-based direct FTC method for dynamic positioning of underwater vehicles with thruster redundancy[C]//2025 IEEE/RSJ International Conference on Intelligent Robots and Systems (IROS). Hangzhou, China: IEEE, 2025: 1542-1549. DOI: 10.1109/IROS60139.2025.11246250.</w:t>
      </w:r>
    </w:p>
    <w:p>
      <w:pPr>
        <w:pStyle w:val="a9"/>
        <w:spacing w:line="360" w:lineRule="auto" w:beforeLines="0" w:before="0" w:afterLines="0" w:after="0"/>
        <w:ind w:left="420" w:hanging="420"/>
      </w:pPr>
      <w:r>
        <w:rPr>
          <w:rFonts w:ascii="Times New Roman" w:hAnsi="Times New Roman" w:cs="Times New Roman" w:eastAsia="宋体"/>
          <w:b w:val="0"/>
          <w:sz w:val="24"/>
        </w:rPr>
        <w:t>[34] MEIER L, HONEGGER D, POLLEFEYS M. PX4: A node-based multithreaded open source robotics framework for deeply embedded platforms[C]//2015 IEEE International Conference on Robotics and Automation (ICRA). Seattle, WA, USA: IEEE, 2015: 6235-6240.</w:t>
      </w:r>
    </w:p>
    <w:p>
      <w:pPr>
        <w:pStyle w:val="a9"/>
        <w:spacing w:line="360" w:lineRule="auto" w:beforeLines="0" w:before="0" w:afterLines="0" w:after="0"/>
        <w:ind w:left="420" w:hanging="420"/>
      </w:pPr>
      <w:r>
        <w:rPr>
          <w:rFonts w:ascii="Times New Roman" w:hAnsi="Times New Roman" w:cs="Times New Roman" w:eastAsia="宋体"/>
          <w:b w:val="0"/>
          <w:sz w:val="24"/>
        </w:rPr>
        <w:t>[35] PX4 Development Team. Control Allocation (Mixing)[EB/OL]. [2026-10-10]. https://docs.px4.io/main/en/concept/control_allocation.</w:t>
      </w:r>
    </w:p>
    <w:p>
      <w:pPr>
        <w:pStyle w:val="a9"/>
        <w:spacing w:line="360" w:lineRule="auto" w:beforeLines="0" w:before="0" w:afterLines="0" w:after="0"/>
        <w:ind w:left="420" w:hanging="420"/>
      </w:pPr>
      <w:r>
        <w:rPr>
          <w:rFonts w:ascii="Times New Roman" w:hAnsi="Times New Roman" w:cs="Times New Roman" w:eastAsia="宋体"/>
          <w:b w:val="0"/>
          <w:sz w:val="24"/>
        </w:rPr>
        <w:t>[36] PX4 Development Team. BlueROV2 (UUV)[EB/OL]. [2026-10-10]. https://docs.px4.io/main/en/frames_sub/bluerov2.</w:t>
      </w:r>
    </w:p>
    <w:p>
      <w:pPr>
        <w:pStyle w:val="a9"/>
        <w:spacing w:line="360" w:lineRule="auto" w:beforeLines="0" w:before="0" w:afterLines="0" w:after="0"/>
        <w:ind w:left="420" w:hanging="420"/>
      </w:pPr>
      <w:r>
        <w:rPr>
          <w:rFonts w:ascii="Times New Roman" w:hAnsi="Times New Roman" w:cs="Times New Roman" w:eastAsia="宋体"/>
          <w:b w:val="0"/>
          <w:sz w:val="24"/>
        </w:rPr>
        <w:t>[37] PX4 Development Team. Offboard Mode (Generic/All Frames)[EB/OL]. [2026-10-10]. https://docs.px4.io/main/en/flight_modes/offboard.</w:t>
      </w:r>
    </w:p>
    <w:permEnd w:id="61024898"/>
    <w:p w14:paraId="2CA8248D" w14:textId="77777777" w:rsidR="00117889" w:rsidRPr="0008585D" w:rsidRDefault="00117889" w:rsidP="0008585D">
      <w:pPr>
        <w:spacing w:beforeLines="50" w:before="120" w:afterLines="50" w:after="120" w:line="360" w:lineRule="auto"/>
        <w:ind w:firstLine="560" w:firstLineChars="0"/>
        <w:rPr>
          <w:rFonts w:ascii="黑体" w:eastAsia="黑体" w:hint="eastAsia"/>
          <w:sz w:val="28"/>
        </w:rPr>
      </w:pPr>
      <w:r w:rsidRPr="0008585D">
        <w:rPr>
          <w:rFonts w:ascii="Times New Roman" w:eastAsia="黑体" w:hint="eastAsia" w:hAnsi="Times New Roman" w:cs="Times New Roman"/>
          <w:b w:val="0"/>
          <w:sz w:val="28"/>
        </w:rPr>
        <w:t>四、</w:t>
      </w:r>
      <w:r w:rsidR="003C56B6" w:rsidRPr="0008585D">
        <w:rPr>
          <w:rFonts w:ascii="Times New Roman" w:eastAsia="黑体" w:hint="eastAsia" w:hAnsi="Times New Roman" w:cs="Times New Roman"/>
          <w:b w:val="0"/>
          <w:sz w:val="28"/>
        </w:rPr>
        <w:t>审核意见</w:t>
      </w:r>
    </w:p>
    <w:tbl>
      <w:tblPr>
        <w:tblW w:w="85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00"/>
      </w:tblGrid>
      <w:tr w:rsidR="003C56B6" w14:paraId="3A9BF221" w14:textId="77777777" w:rsidTr="00D82E2B">
        <w:tblPrEx>
          <w:tblCellMar>
            <w:top w:w="0" w:type="dxa"/>
            <w:bottom w:w="0" w:type="dxa"/>
          </w:tblCellMar>
        </w:tblPrEx>
        <w:trPr>
          <w:trHeight w:val="5068"/>
        </w:trPr>
        <w:tc>
          <w:tcPr>
            <w:tcW w:w="8500" w:type="dxa"/>
            <w:vAlign w:val="bottom"/>
          </w:tcPr>
          <w:p w14:paraId="498EEE18" w14:textId="77777777" w:rsidR="006C543B" w:rsidRPr="00CB3579" w:rsidRDefault="00612E7C" w:rsidP="0042402F">
            <w:pPr>
              <w:spacing w:line="360" w:lineRule="exact"/>
              <w:ind w:firstLine="480"/>
              <w:rPr>
                <w:rFonts w:ascii="宋体" w:hAnsi="宋体" w:hint="eastAsia"/>
                <w:szCs w:val="21"/>
              </w:rPr>
            </w:pPr>
            <w:r w:rsidRPr="00612E7C">
              <w:rPr>
                <w:rFonts w:ascii="黑体" w:eastAsia="黑体" w:hAnsi="宋体"/>
                <w:szCs w:val="24"/>
              </w:rPr>
              <w:lastRenderedPageBreak/>
              <w:t>指导教师意见：</w:t>
            </w:r>
            <w:permStart w:id="1765554322" w:edGrp="everyone"/>
          </w:p>
          <w:p w14:paraId="0B50E364" w14:textId="77777777" w:rsidR="006C543B" w:rsidRDefault="00BB4B8B" w:rsidP="0042402F">
            <w:pPr>
              <w:spacing w:line="360" w:lineRule="exact"/>
              <w:ind w:firstLine="480"/>
              <w:rPr>
                <w:rFonts w:ascii="宋体" w:hAnsi="宋体" w:hint="eastAsia"/>
                <w:color w:val="ADADAD"/>
                <w:szCs w:val="24"/>
              </w:rPr>
            </w:pPr>
            <w:r>
              <w:rPr>
                <w:rFonts w:ascii="宋体" w:hAnsi="宋体"/>
                <w:color w:val="ADADAD"/>
                <w:szCs w:val="24"/>
              </w:rPr>
              <w:t>（课题难度是否适中、工作量是否饱满、进度安排是否合理、工作条件是否具备、是否同意开题等）</w:t>
            </w:r>
          </w:p>
          <w:p w14:paraId="3930308C" w14:textId="77777777" w:rsidR="00D82E2B" w:rsidRPr="00612E7C" w:rsidRDefault="00D82E2B" w:rsidP="00D65133">
            <w:pPr>
              <w:pStyle w:val="a7"/>
              <w:ind w:firstLine="480"/>
              <w:rPr>
                <w:rFonts w:hint="eastAsia"/>
              </w:rPr>
            </w:pPr>
          </w:p>
          <w:p w14:paraId="08C32DB3" w14:textId="77777777" w:rsidR="00D82E2B" w:rsidRPr="00612E7C" w:rsidRDefault="00D82E2B" w:rsidP="00D65133">
            <w:pPr>
              <w:pStyle w:val="a7"/>
              <w:ind w:firstLine="480"/>
              <w:rPr>
                <w:rFonts w:hint="eastAsia"/>
              </w:rPr>
            </w:pPr>
          </w:p>
          <w:p w14:paraId="42BCE067" w14:textId="77777777" w:rsidR="006C543B" w:rsidRPr="00612E7C" w:rsidRDefault="006C543B" w:rsidP="00D65133">
            <w:pPr>
              <w:pStyle w:val="a7"/>
              <w:ind w:firstLine="480"/>
              <w:rPr>
                <w:rFonts w:hint="eastAsia"/>
              </w:rPr>
            </w:pPr>
          </w:p>
          <w:p w14:paraId="62F9A7FB" w14:textId="77777777" w:rsidR="006C543B" w:rsidRPr="00612E7C" w:rsidRDefault="006C543B" w:rsidP="00D65133">
            <w:pPr>
              <w:pStyle w:val="a7"/>
              <w:ind w:firstLine="480"/>
              <w:rPr>
                <w:rFonts w:hint="eastAsia"/>
              </w:rPr>
            </w:pPr>
          </w:p>
          <w:p w14:paraId="1EAE3CD9" w14:textId="77777777" w:rsidR="006C543B" w:rsidRPr="00612E7C" w:rsidRDefault="006C543B" w:rsidP="00D65133">
            <w:pPr>
              <w:pStyle w:val="a7"/>
              <w:ind w:firstLine="480"/>
              <w:rPr>
                <w:rFonts w:hint="eastAsia"/>
              </w:rPr>
            </w:pPr>
          </w:p>
          <w:p w14:paraId="1D61238E" w14:textId="77777777" w:rsidR="006C543B" w:rsidRPr="00612E7C" w:rsidRDefault="006C543B" w:rsidP="00D65133">
            <w:pPr>
              <w:pStyle w:val="a7"/>
              <w:ind w:firstLine="480"/>
              <w:rPr>
                <w:rFonts w:hint="eastAsia"/>
              </w:rPr>
            </w:pPr>
          </w:p>
          <w:p w14:paraId="329DC671" w14:textId="77777777" w:rsidR="006C543B" w:rsidRPr="00612E7C" w:rsidRDefault="006C543B" w:rsidP="00D65133">
            <w:pPr>
              <w:pStyle w:val="a7"/>
              <w:ind w:firstLine="480"/>
              <w:rPr>
                <w:rFonts w:hint="eastAsia"/>
              </w:rPr>
            </w:pPr>
          </w:p>
          <w:permEnd w:id="1765554322"/>
          <w:p w14:paraId="69D2BE4E" w14:textId="77777777" w:rsidR="006C543B" w:rsidRPr="00612E7C" w:rsidRDefault="006C543B" w:rsidP="005A3AC1">
            <w:pPr>
              <w:ind w:firstLineChars="2300" w:firstLine="5520"/>
              <w:rPr>
                <w:rFonts w:ascii="黑体" w:eastAsia="黑体" w:hAnsi="宋体" w:hint="eastAsia"/>
                <w:szCs w:val="24"/>
              </w:rPr>
            </w:pPr>
            <w:r w:rsidRPr="00612E7C">
              <w:rPr>
                <w:rFonts w:ascii="黑体" w:eastAsia="黑体" w:hAnsi="宋体" w:hint="eastAsia"/>
                <w:szCs w:val="24"/>
              </w:rPr>
              <w:t>指导教师签名</w:t>
            </w:r>
            <w:r w:rsidRPr="00612E7C">
              <w:rPr>
                <w:rFonts w:ascii="黑体" w:eastAsia="黑体" w:hAnsi="宋体" w:hint="eastAsia"/>
                <w:szCs w:val="24"/>
                <w:u w:val="single"/>
              </w:rPr>
              <w:t xml:space="preserve">   </w:t>
            </w:r>
            <w:permStart w:id="1518695443" w:edGrp="everyone"/>
            <w:r w:rsidRPr="00612E7C">
              <w:rPr>
                <w:rFonts w:ascii="黑体" w:eastAsia="黑体" w:hAnsi="宋体" w:hint="eastAsia"/>
                <w:szCs w:val="24"/>
                <w:u w:val="single"/>
              </w:rPr>
              <w:t xml:space="preserve">  </w:t>
            </w:r>
            <w:permEnd w:id="1518695443"/>
            <w:r w:rsidRPr="00612E7C">
              <w:rPr>
                <w:rFonts w:ascii="黑体" w:eastAsia="黑体" w:hAnsi="宋体" w:hint="eastAsia"/>
                <w:szCs w:val="24"/>
                <w:u w:val="single"/>
              </w:rPr>
              <w:t xml:space="preserve">  </w:t>
            </w:r>
          </w:p>
          <w:p w14:paraId="54DBADB2" w14:textId="77777777" w:rsidR="006C543B" w:rsidRPr="00612E7C" w:rsidRDefault="006C543B">
            <w:pPr>
              <w:ind w:firstLine="480"/>
              <w:jc w:val="center"/>
              <w:rPr>
                <w:rFonts w:ascii="黑体" w:eastAsia="黑体" w:hAnsi="宋体" w:hint="eastAsia"/>
                <w:szCs w:val="24"/>
              </w:rPr>
            </w:pPr>
            <w:r w:rsidRPr="00612E7C">
              <w:rPr>
                <w:rFonts w:ascii="宋体" w:hAnsi="宋体" w:hint="eastAsia"/>
                <w:szCs w:val="24"/>
              </w:rPr>
              <w:t xml:space="preserve">                      </w:t>
            </w:r>
            <w:r w:rsidR="00214248">
              <w:rPr>
                <w:rFonts w:ascii="宋体" w:hAnsi="宋体" w:hint="eastAsia"/>
                <w:szCs w:val="24"/>
              </w:rPr>
              <w:t xml:space="preserve">                  </w:t>
            </w:r>
            <w:r w:rsidR="00641C40" w:rsidRPr="00612E7C">
              <w:rPr>
                <w:rFonts w:ascii="宋体" w:hAnsi="宋体" w:hint="eastAsia"/>
                <w:szCs w:val="24"/>
                <w:u w:val="single"/>
              </w:rPr>
              <w:t xml:space="preserve"> </w:t>
            </w:r>
            <w:permStart w:id="1781160961" w:edGrp="everyone"/>
            <w:r w:rsidR="00641C40" w:rsidRPr="00612E7C">
              <w:rPr>
                <w:rFonts w:ascii="宋体" w:hAnsi="宋体" w:hint="eastAsia"/>
                <w:szCs w:val="24"/>
                <w:u w:val="single"/>
              </w:rPr>
              <w:t xml:space="preserve"> </w:t>
            </w:r>
            <w:permEnd w:id="1781160961"/>
            <w:r w:rsidR="00641C40" w:rsidRPr="00612E7C">
              <w:rPr>
                <w:rFonts w:ascii="宋体" w:hAnsi="宋体" w:hint="eastAsia"/>
                <w:szCs w:val="24"/>
                <w:u w:val="single"/>
              </w:rPr>
              <w:t xml:space="preserve"> </w:t>
            </w:r>
            <w:r w:rsidR="00641C40" w:rsidRPr="00612E7C">
              <w:rPr>
                <w:rFonts w:ascii="黑体" w:eastAsia="黑体" w:hAnsi="宋体" w:hint="eastAsia"/>
                <w:szCs w:val="24"/>
              </w:rPr>
              <w:t>年</w:t>
            </w:r>
            <w:r w:rsidR="00641C40" w:rsidRPr="00612E7C">
              <w:rPr>
                <w:rFonts w:ascii="宋体" w:hAnsi="宋体" w:hint="eastAsia"/>
                <w:szCs w:val="24"/>
                <w:u w:val="single"/>
              </w:rPr>
              <w:t xml:space="preserve"> </w:t>
            </w:r>
            <w:permStart w:id="331945448" w:edGrp="everyone"/>
            <w:r w:rsidR="00641C40" w:rsidRPr="00612E7C">
              <w:rPr>
                <w:rFonts w:ascii="宋体" w:hAnsi="宋体" w:hint="eastAsia"/>
                <w:szCs w:val="24"/>
                <w:u w:val="single"/>
              </w:rPr>
              <w:t xml:space="preserve"> </w:t>
            </w:r>
            <w:permEnd w:id="331945448"/>
            <w:r w:rsidR="00641C40" w:rsidRPr="00612E7C">
              <w:rPr>
                <w:rFonts w:ascii="宋体" w:hAnsi="宋体" w:hint="eastAsia"/>
                <w:szCs w:val="24"/>
                <w:u w:val="single"/>
              </w:rPr>
              <w:t xml:space="preserve"> </w:t>
            </w:r>
            <w:r w:rsidR="00641C40" w:rsidRPr="00612E7C">
              <w:rPr>
                <w:rFonts w:ascii="黑体" w:eastAsia="黑体" w:hAnsi="宋体" w:hint="eastAsia"/>
                <w:szCs w:val="24"/>
              </w:rPr>
              <w:t>月</w:t>
            </w:r>
            <w:r w:rsidR="00641C40" w:rsidRPr="00612E7C">
              <w:rPr>
                <w:rFonts w:ascii="宋体" w:hAnsi="宋体" w:hint="eastAsia"/>
                <w:szCs w:val="24"/>
                <w:u w:val="single"/>
              </w:rPr>
              <w:t xml:space="preserve"> </w:t>
            </w:r>
            <w:permStart w:id="1703167306" w:edGrp="everyone"/>
            <w:r w:rsidR="00641C40" w:rsidRPr="00612E7C">
              <w:rPr>
                <w:rFonts w:ascii="宋体" w:hAnsi="宋体" w:hint="eastAsia"/>
                <w:szCs w:val="24"/>
                <w:u w:val="single"/>
              </w:rPr>
              <w:t xml:space="preserve"> </w:t>
            </w:r>
            <w:permEnd w:id="1703167306"/>
            <w:r w:rsidR="00641C40" w:rsidRPr="00612E7C">
              <w:rPr>
                <w:rFonts w:ascii="宋体" w:hAnsi="宋体" w:hint="eastAsia"/>
                <w:szCs w:val="24"/>
                <w:u w:val="single"/>
              </w:rPr>
              <w:t xml:space="preserve"> </w:t>
            </w:r>
            <w:r w:rsidR="00641C40" w:rsidRPr="00612E7C">
              <w:rPr>
                <w:rFonts w:ascii="黑体" w:eastAsia="黑体" w:hAnsi="宋体" w:hint="eastAsia"/>
                <w:szCs w:val="24"/>
              </w:rPr>
              <w:t>日</w:t>
            </w:r>
          </w:p>
          <w:p w14:paraId="0AA36D12" w14:textId="77777777" w:rsidR="005A3AC1" w:rsidRPr="006C543B" w:rsidRDefault="005A3AC1">
            <w:pPr>
              <w:ind w:firstLine="560"/>
              <w:jc w:val="center"/>
              <w:rPr>
                <w:rFonts w:ascii="宋体" w:hAnsi="宋体" w:hint="eastAsia"/>
                <w:sz w:val="28"/>
              </w:rPr>
            </w:pPr>
          </w:p>
        </w:tc>
      </w:tr>
      <w:tr w:rsidR="006C543B" w14:paraId="4FEE186F" w14:textId="77777777" w:rsidTr="00D82E2B">
        <w:tblPrEx>
          <w:tblCellMar>
            <w:top w:w="0" w:type="dxa"/>
            <w:bottom w:w="0" w:type="dxa"/>
          </w:tblCellMar>
        </w:tblPrEx>
        <w:trPr>
          <w:trHeight w:val="3965"/>
        </w:trPr>
        <w:tc>
          <w:tcPr>
            <w:tcW w:w="8500" w:type="dxa"/>
            <w:vAlign w:val="bottom"/>
          </w:tcPr>
          <w:p w14:paraId="0BA4A45F" w14:textId="77777777" w:rsidR="005A3AC1" w:rsidRPr="004377B6" w:rsidRDefault="005A3AC1" w:rsidP="005A3AC1">
            <w:pPr>
              <w:ind w:firstLine="480"/>
              <w:rPr>
                <w:rFonts w:ascii="黑体" w:eastAsia="黑体" w:hAnsi="楷体" w:hint="eastAsia"/>
                <w:szCs w:val="24"/>
              </w:rPr>
            </w:pPr>
            <w:r w:rsidRPr="004377B6">
              <w:rPr>
                <w:rFonts w:ascii="黑体" w:eastAsia="黑体" w:hAnsi="楷体" w:hint="eastAsia"/>
                <w:szCs w:val="24"/>
              </w:rPr>
              <w:t>专业审核意见：</w:t>
            </w:r>
          </w:p>
          <w:p w14:paraId="464295D2" w14:textId="77777777" w:rsidR="005A3AC1" w:rsidRDefault="000B4F99" w:rsidP="00214248">
            <w:pPr>
              <w:spacing w:line="360" w:lineRule="auto"/>
              <w:ind w:firstLine="480"/>
              <w:rPr>
                <w:rFonts w:ascii="宋体" w:hAnsi="宋体" w:hint="eastAsia"/>
                <w:color w:val="ADADAD"/>
                <w:szCs w:val="24"/>
              </w:rPr>
            </w:pPr>
            <w:permStart w:id="64110409" w:edGrp="everyone"/>
            <w:r>
              <w:rPr>
                <w:rFonts w:hAnsi="宋体" w:hint="eastAsia"/>
                <w:color w:val="ADADAD"/>
                <w:szCs w:val="24"/>
              </w:rPr>
              <w:t>（</w:t>
            </w:r>
            <w:r w:rsidR="00214248">
              <w:rPr>
                <w:rFonts w:hAnsi="宋体" w:hint="eastAsia"/>
                <w:color w:val="ADADAD"/>
                <w:szCs w:val="24"/>
              </w:rPr>
              <w:t>适当对各项内容给与意见和评价，</w:t>
            </w:r>
            <w:r w:rsidR="00713785">
              <w:rPr>
                <w:rFonts w:hAnsi="宋体" w:hint="eastAsia"/>
                <w:color w:val="ADADAD"/>
                <w:szCs w:val="24"/>
              </w:rPr>
              <w:t>字数不限。</w:t>
            </w:r>
            <w:r>
              <w:rPr>
                <w:rFonts w:hAnsi="宋体" w:hint="eastAsia"/>
                <w:color w:val="ADADAD"/>
                <w:szCs w:val="24"/>
              </w:rPr>
              <w:t>）</w:t>
            </w:r>
          </w:p>
          <w:p w14:paraId="037A73CE" w14:textId="77777777" w:rsidR="005A3AC1" w:rsidRPr="00214248" w:rsidRDefault="005A3AC1" w:rsidP="00D65133">
            <w:pPr>
              <w:pStyle w:val="a7"/>
              <w:ind w:firstLine="480"/>
              <w:rPr>
                <w:rFonts w:hint="eastAsia"/>
              </w:rPr>
            </w:pPr>
          </w:p>
          <w:p w14:paraId="0BB96980" w14:textId="77777777" w:rsidR="006C543B" w:rsidRPr="00214248" w:rsidRDefault="006C543B" w:rsidP="00D65133">
            <w:pPr>
              <w:pStyle w:val="a7"/>
              <w:ind w:firstLine="480"/>
              <w:rPr>
                <w:rFonts w:hint="eastAsia"/>
              </w:rPr>
            </w:pPr>
          </w:p>
          <w:p w14:paraId="631107CC" w14:textId="77777777" w:rsidR="00D82E2B" w:rsidRPr="00214248" w:rsidRDefault="00D82E2B" w:rsidP="00D65133">
            <w:pPr>
              <w:pStyle w:val="a7"/>
              <w:ind w:firstLine="480"/>
              <w:rPr>
                <w:rFonts w:hint="eastAsia"/>
              </w:rPr>
            </w:pPr>
          </w:p>
          <w:p w14:paraId="1F651512" w14:textId="77777777" w:rsidR="006C543B" w:rsidRPr="00214248" w:rsidRDefault="006C543B" w:rsidP="00D65133">
            <w:pPr>
              <w:pStyle w:val="a7"/>
              <w:ind w:firstLine="480"/>
              <w:rPr>
                <w:rFonts w:hint="eastAsia"/>
              </w:rPr>
            </w:pPr>
          </w:p>
          <w:p w14:paraId="03E625F7" w14:textId="77777777" w:rsidR="006C543B" w:rsidRPr="00214248" w:rsidRDefault="006C543B" w:rsidP="00D65133">
            <w:pPr>
              <w:pStyle w:val="a7"/>
              <w:ind w:firstLine="480"/>
              <w:rPr>
                <w:rFonts w:hint="eastAsia"/>
              </w:rPr>
            </w:pPr>
          </w:p>
          <w:permEnd w:id="64110409"/>
          <w:p w14:paraId="2F4B20B7" w14:textId="77777777" w:rsidR="006C543B" w:rsidRPr="00214248" w:rsidRDefault="006C543B" w:rsidP="005A3AC1">
            <w:pPr>
              <w:ind w:firstLineChars="2400" w:firstLine="5760"/>
              <w:rPr>
                <w:rFonts w:ascii="黑体" w:eastAsia="黑体" w:hAnsi="宋体" w:hint="eastAsia"/>
                <w:szCs w:val="24"/>
              </w:rPr>
            </w:pPr>
            <w:r w:rsidRPr="00214248">
              <w:rPr>
                <w:rFonts w:ascii="黑体" w:eastAsia="黑体" w:hAnsi="宋体" w:hint="eastAsia"/>
                <w:szCs w:val="24"/>
              </w:rPr>
              <w:t>负责人签名</w:t>
            </w:r>
            <w:r w:rsidRPr="00214248">
              <w:rPr>
                <w:rFonts w:ascii="黑体" w:eastAsia="黑体" w:hAnsi="宋体" w:hint="eastAsia"/>
                <w:szCs w:val="24"/>
                <w:u w:val="single"/>
              </w:rPr>
              <w:t xml:space="preserve">  </w:t>
            </w:r>
            <w:permStart w:id="1919437834" w:edGrp="everyone"/>
            <w:r w:rsidR="00641C40" w:rsidRPr="00214248">
              <w:rPr>
                <w:rFonts w:ascii="黑体" w:eastAsia="黑体" w:hAnsi="宋体" w:hint="eastAsia"/>
                <w:szCs w:val="24"/>
                <w:u w:val="single"/>
              </w:rPr>
              <w:t xml:space="preserve"> </w:t>
            </w:r>
            <w:r w:rsidRPr="00214248">
              <w:rPr>
                <w:rFonts w:ascii="黑体" w:eastAsia="黑体" w:hAnsi="宋体" w:hint="eastAsia"/>
                <w:szCs w:val="24"/>
                <w:u w:val="single"/>
              </w:rPr>
              <w:t xml:space="preserve"> </w:t>
            </w:r>
            <w:permEnd w:id="1919437834"/>
            <w:r w:rsidRPr="00214248">
              <w:rPr>
                <w:rFonts w:ascii="黑体" w:eastAsia="黑体" w:hAnsi="宋体" w:hint="eastAsia"/>
                <w:szCs w:val="24"/>
                <w:u w:val="single"/>
              </w:rPr>
              <w:t xml:space="preserve">  </w:t>
            </w:r>
          </w:p>
          <w:p w14:paraId="7032D7DB" w14:textId="77777777" w:rsidR="006C543B" w:rsidRPr="00214248" w:rsidRDefault="006C543B" w:rsidP="006C543B">
            <w:pPr>
              <w:ind w:firstLine="480"/>
              <w:jc w:val="center"/>
              <w:rPr>
                <w:rFonts w:ascii="楷体" w:eastAsia="楷体" w:hAnsi="楷体" w:hint="eastAsia"/>
                <w:szCs w:val="24"/>
              </w:rPr>
            </w:pPr>
            <w:r w:rsidRPr="00214248">
              <w:rPr>
                <w:rFonts w:ascii="宋体" w:hAnsi="宋体" w:hint="eastAsia"/>
                <w:szCs w:val="24"/>
              </w:rPr>
              <w:t xml:space="preserve">                    </w:t>
            </w:r>
            <w:r w:rsidR="00641C40" w:rsidRPr="00214248">
              <w:rPr>
                <w:rFonts w:ascii="宋体" w:hAnsi="宋体" w:hint="eastAsia"/>
                <w:szCs w:val="24"/>
              </w:rPr>
              <w:t xml:space="preserve">    </w:t>
            </w:r>
            <w:r w:rsidR="00214248">
              <w:rPr>
                <w:rFonts w:ascii="宋体" w:hAnsi="宋体" w:hint="eastAsia"/>
                <w:szCs w:val="24"/>
              </w:rPr>
              <w:t xml:space="preserve">                  </w:t>
            </w:r>
            <w:r w:rsidRPr="00214248">
              <w:rPr>
                <w:rFonts w:ascii="宋体" w:hAnsi="宋体" w:hint="eastAsia"/>
                <w:szCs w:val="24"/>
                <w:u w:val="single"/>
              </w:rPr>
              <w:t xml:space="preserve"> </w:t>
            </w:r>
            <w:permStart w:id="657809024" w:edGrp="everyone"/>
            <w:r w:rsidRPr="00214248">
              <w:rPr>
                <w:rFonts w:ascii="宋体" w:hAnsi="宋体" w:hint="eastAsia"/>
                <w:szCs w:val="24"/>
                <w:u w:val="single"/>
              </w:rPr>
              <w:t xml:space="preserve"> </w:t>
            </w:r>
            <w:permEnd w:id="657809024"/>
            <w:r w:rsidRPr="00214248">
              <w:rPr>
                <w:rFonts w:ascii="宋体" w:hAnsi="宋体" w:hint="eastAsia"/>
                <w:szCs w:val="24"/>
                <w:u w:val="single"/>
              </w:rPr>
              <w:t xml:space="preserve"> </w:t>
            </w:r>
            <w:r w:rsidRPr="00214248">
              <w:rPr>
                <w:rFonts w:ascii="黑体" w:eastAsia="黑体" w:hAnsi="宋体" w:hint="eastAsia"/>
                <w:szCs w:val="24"/>
              </w:rPr>
              <w:t>年</w:t>
            </w:r>
            <w:r w:rsidRPr="00214248">
              <w:rPr>
                <w:rFonts w:ascii="宋体" w:hAnsi="宋体" w:hint="eastAsia"/>
                <w:szCs w:val="24"/>
                <w:u w:val="single"/>
              </w:rPr>
              <w:t xml:space="preserve"> </w:t>
            </w:r>
            <w:permStart w:id="514345028" w:edGrp="everyone"/>
            <w:r w:rsidRPr="00214248">
              <w:rPr>
                <w:rFonts w:ascii="宋体" w:hAnsi="宋体" w:hint="eastAsia"/>
                <w:szCs w:val="24"/>
                <w:u w:val="single"/>
              </w:rPr>
              <w:t xml:space="preserve"> </w:t>
            </w:r>
            <w:permEnd w:id="514345028"/>
            <w:r w:rsidR="005A3AC1" w:rsidRPr="00214248">
              <w:rPr>
                <w:rFonts w:ascii="宋体" w:hAnsi="宋体" w:hint="eastAsia"/>
                <w:szCs w:val="24"/>
                <w:u w:val="single"/>
              </w:rPr>
              <w:t xml:space="preserve"> </w:t>
            </w:r>
            <w:r w:rsidRPr="00214248">
              <w:rPr>
                <w:rFonts w:ascii="黑体" w:eastAsia="黑体" w:hAnsi="宋体" w:hint="eastAsia"/>
                <w:szCs w:val="24"/>
              </w:rPr>
              <w:t>月</w:t>
            </w:r>
            <w:r w:rsidRPr="00214248">
              <w:rPr>
                <w:rFonts w:ascii="宋体" w:hAnsi="宋体" w:hint="eastAsia"/>
                <w:szCs w:val="24"/>
                <w:u w:val="single"/>
              </w:rPr>
              <w:t xml:space="preserve"> </w:t>
            </w:r>
            <w:permStart w:id="1450260749" w:edGrp="everyone"/>
            <w:r w:rsidR="00641C40" w:rsidRPr="00214248">
              <w:rPr>
                <w:rFonts w:ascii="宋体" w:hAnsi="宋体" w:hint="eastAsia"/>
                <w:szCs w:val="24"/>
                <w:u w:val="single"/>
              </w:rPr>
              <w:t xml:space="preserve"> </w:t>
            </w:r>
            <w:permEnd w:id="1450260749"/>
            <w:r w:rsidRPr="00214248">
              <w:rPr>
                <w:rFonts w:ascii="宋体" w:hAnsi="宋体" w:hint="eastAsia"/>
                <w:szCs w:val="24"/>
                <w:u w:val="single"/>
              </w:rPr>
              <w:t xml:space="preserve"> </w:t>
            </w:r>
            <w:r w:rsidRPr="00214248">
              <w:rPr>
                <w:rFonts w:ascii="黑体" w:eastAsia="黑体" w:hAnsi="宋体" w:hint="eastAsia"/>
                <w:szCs w:val="24"/>
              </w:rPr>
              <w:t>日</w:t>
            </w:r>
          </w:p>
          <w:p w14:paraId="698FE26B" w14:textId="77777777" w:rsidR="006C543B" w:rsidRDefault="006C543B">
            <w:pPr>
              <w:ind w:firstLine="480"/>
              <w:jc w:val="center"/>
              <w:rPr>
                <w:rFonts w:ascii="楷体" w:eastAsia="楷体" w:hAnsi="楷体" w:hint="eastAsia"/>
              </w:rPr>
            </w:pPr>
          </w:p>
        </w:tc>
      </w:tr>
    </w:tbl>
    <w:p w14:paraId="7C2C33EF" w14:textId="77777777" w:rsidR="00117889" w:rsidRPr="008F5532" w:rsidRDefault="00117889">
      <w:pPr>
        <w:ind w:firstLine="560"/>
        <w:jc w:val="left"/>
        <w:rPr>
          <w:rFonts w:ascii="宋体" w:hAnsi="宋体" w:hint="eastAsia"/>
          <w:sz w:val="28"/>
        </w:rPr>
      </w:pPr>
    </w:p>
    <w:p w14:paraId="46D16151" w14:textId="77777777" w:rsidR="00117889" w:rsidRPr="008F5532" w:rsidRDefault="00117889">
      <w:pPr>
        <w:ind w:firstLine="480"/>
        <w:jc w:val="left"/>
        <w:rPr>
          <w:rFonts w:ascii="宋体" w:hAnsi="宋体" w:hint="eastAsia"/>
        </w:rPr>
      </w:pPr>
    </w:p>
    <w:sectPr w:rsidR="00117889" w:rsidRPr="008F5532" w:rsidSect="00217F24">
      <w:pgSz w:w="11907" w:h="16840" w:code="9"/>
      <w:pgMar w:top="1304" w:right="1797" w:bottom="567" w:left="1797" w:header="720" w:footer="720" w:gutter="0"/>
      <w:cols w:space="425"/>
      <w:docGrid w:linePitch="27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7704AF" w14:textId="77777777" w:rsidR="000925E3" w:rsidRDefault="000925E3" w:rsidP="003750D2">
      <w:pPr>
        <w:ind w:firstLine="480"/>
      </w:pPr>
      <w:r>
        <w:separator/>
      </w:r>
    </w:p>
  </w:endnote>
  <w:endnote w:type="continuationSeparator" w:id="0">
    <w:p w14:paraId="04F1F3F3" w14:textId="77777777" w:rsidR="000925E3" w:rsidRDefault="000925E3" w:rsidP="003750D2">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楷体_GB2312">
    <w:altName w:val="微软雅黑"/>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3C9F60" w14:textId="77777777" w:rsidR="000925E3" w:rsidRDefault="000925E3" w:rsidP="003750D2">
      <w:pPr>
        <w:ind w:firstLine="480"/>
      </w:pPr>
      <w:r>
        <w:separator/>
      </w:r>
    </w:p>
  </w:footnote>
  <w:footnote w:type="continuationSeparator" w:id="0">
    <w:p w14:paraId="63E0A6FD" w14:textId="77777777" w:rsidR="000925E3" w:rsidRDefault="000925E3" w:rsidP="003750D2">
      <w:pPr>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42DE0"/>
    <w:multiLevelType w:val="hybridMultilevel"/>
    <w:tmpl w:val="7104FFF6"/>
    <w:lvl w:ilvl="0" w:tplc="3C168608">
      <w:start w:val="1"/>
      <w:numFmt w:val="japaneseCounting"/>
      <w:lvlText w:val="%1、"/>
      <w:lvlJc w:val="left"/>
      <w:pPr>
        <w:tabs>
          <w:tab w:val="num" w:pos="570"/>
        </w:tabs>
        <w:ind w:left="570" w:hanging="570"/>
      </w:pPr>
      <w:rPr>
        <w:rFonts w:ascii="黑体" w:eastAsia="黑体" w:hint="eastAsia"/>
        <w:sz w:val="2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2A204F17"/>
    <w:multiLevelType w:val="hybridMultilevel"/>
    <w:tmpl w:val="459CC06C"/>
    <w:lvl w:ilvl="0" w:tplc="2CF40196">
      <w:start w:val="1"/>
      <w:numFmt w:val="japaneseCounting"/>
      <w:lvlText w:val="%1、"/>
      <w:lvlJc w:val="left"/>
      <w:pPr>
        <w:tabs>
          <w:tab w:val="num" w:pos="570"/>
        </w:tabs>
        <w:ind w:left="570" w:hanging="57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34F25E25"/>
    <w:multiLevelType w:val="hybridMultilevel"/>
    <w:tmpl w:val="DAE0488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3E3C3544"/>
    <w:multiLevelType w:val="hybridMultilevel"/>
    <w:tmpl w:val="459C0854"/>
    <w:lvl w:ilvl="0" w:tplc="8EEA416E">
      <w:start w:val="1"/>
      <w:numFmt w:val="decimal"/>
      <w:lvlText w:val="%1、"/>
      <w:lvlJc w:val="left"/>
      <w:pPr>
        <w:tabs>
          <w:tab w:val="num" w:pos="1200"/>
        </w:tabs>
        <w:ind w:left="1200" w:hanging="360"/>
      </w:pPr>
      <w:rPr>
        <w:rFonts w:hint="eastAsia"/>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4" w15:restartNumberingAfterBreak="0">
    <w:nsid w:val="400B1EEF"/>
    <w:multiLevelType w:val="hybridMultilevel"/>
    <w:tmpl w:val="F8D2428E"/>
    <w:lvl w:ilvl="0" w:tplc="AB045F8C">
      <w:start w:val="1"/>
      <w:numFmt w:val="japaneseCounting"/>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52CC1901"/>
    <w:multiLevelType w:val="hybridMultilevel"/>
    <w:tmpl w:val="3970EC5A"/>
    <w:lvl w:ilvl="0" w:tplc="8A6CF980">
      <w:start w:val="1"/>
      <w:numFmt w:val="japaneseCounting"/>
      <w:lvlText w:val="%1、"/>
      <w:lvlJc w:val="left"/>
      <w:pPr>
        <w:tabs>
          <w:tab w:val="num" w:pos="570"/>
        </w:tabs>
        <w:ind w:left="570" w:hanging="570"/>
      </w:pPr>
      <w:rPr>
        <w:rFonts w:hAnsi="宋体"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54A80A86"/>
    <w:multiLevelType w:val="hybridMultilevel"/>
    <w:tmpl w:val="AB0CA102"/>
    <w:lvl w:ilvl="0" w:tplc="8EEA416E">
      <w:start w:val="1"/>
      <w:numFmt w:val="decimal"/>
      <w:lvlText w:val="%1、"/>
      <w:lvlJc w:val="left"/>
      <w:pPr>
        <w:tabs>
          <w:tab w:val="num" w:pos="840"/>
        </w:tabs>
        <w:ind w:left="840" w:hanging="3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5CFF786F"/>
    <w:multiLevelType w:val="hybridMultilevel"/>
    <w:tmpl w:val="547EF290"/>
    <w:lvl w:ilvl="0" w:tplc="8EEA416E">
      <w:start w:val="1"/>
      <w:numFmt w:val="decimal"/>
      <w:lvlText w:val="%1、"/>
      <w:lvlJc w:val="left"/>
      <w:pPr>
        <w:tabs>
          <w:tab w:val="num" w:pos="840"/>
        </w:tabs>
        <w:ind w:left="840" w:hanging="3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697466979">
    <w:abstractNumId w:val="4"/>
  </w:num>
  <w:num w:numId="2" w16cid:durableId="227157668">
    <w:abstractNumId w:val="6"/>
  </w:num>
  <w:num w:numId="3" w16cid:durableId="738675344">
    <w:abstractNumId w:val="3"/>
  </w:num>
  <w:num w:numId="4" w16cid:durableId="1261336478">
    <w:abstractNumId w:val="7"/>
  </w:num>
  <w:num w:numId="5" w16cid:durableId="844982825">
    <w:abstractNumId w:val="0"/>
  </w:num>
  <w:num w:numId="6" w16cid:durableId="1997606592">
    <w:abstractNumId w:val="1"/>
  </w:num>
  <w:num w:numId="7" w16cid:durableId="440565591">
    <w:abstractNumId w:val="5"/>
  </w:num>
  <w:num w:numId="8" w16cid:durableId="2512824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readOnly" w:formatting="1" w:enforcement="0"/>
  <w:defaultTabStop w:val="425"/>
  <w:drawingGridHorizontalSpacing w:val="100"/>
  <w:drawingGridVerticalSpacing w:val="271"/>
  <w:displayHorizont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21022"/>
    <w:rsid w:val="000651DE"/>
    <w:rsid w:val="00080E79"/>
    <w:rsid w:val="0008585D"/>
    <w:rsid w:val="00085923"/>
    <w:rsid w:val="000925E3"/>
    <w:rsid w:val="000B4F99"/>
    <w:rsid w:val="000F31AE"/>
    <w:rsid w:val="00117889"/>
    <w:rsid w:val="00120525"/>
    <w:rsid w:val="00130112"/>
    <w:rsid w:val="00137786"/>
    <w:rsid w:val="001B5BCF"/>
    <w:rsid w:val="001C756F"/>
    <w:rsid w:val="00210A67"/>
    <w:rsid w:val="00214248"/>
    <w:rsid w:val="00217F24"/>
    <w:rsid w:val="00241C7A"/>
    <w:rsid w:val="00287FBB"/>
    <w:rsid w:val="002D4B04"/>
    <w:rsid w:val="002E0484"/>
    <w:rsid w:val="002E2206"/>
    <w:rsid w:val="002E30E8"/>
    <w:rsid w:val="002F323F"/>
    <w:rsid w:val="003043C7"/>
    <w:rsid w:val="00334DA9"/>
    <w:rsid w:val="003750D2"/>
    <w:rsid w:val="00376167"/>
    <w:rsid w:val="003C56B6"/>
    <w:rsid w:val="0042402F"/>
    <w:rsid w:val="00437105"/>
    <w:rsid w:val="004377B6"/>
    <w:rsid w:val="00444EA1"/>
    <w:rsid w:val="004652AE"/>
    <w:rsid w:val="00470EA2"/>
    <w:rsid w:val="004C4082"/>
    <w:rsid w:val="004E6B31"/>
    <w:rsid w:val="005069F4"/>
    <w:rsid w:val="00526A4A"/>
    <w:rsid w:val="00536562"/>
    <w:rsid w:val="00595F24"/>
    <w:rsid w:val="005A1E6B"/>
    <w:rsid w:val="005A3AC1"/>
    <w:rsid w:val="005F5E45"/>
    <w:rsid w:val="006072A1"/>
    <w:rsid w:val="00612E7C"/>
    <w:rsid w:val="00613335"/>
    <w:rsid w:val="006248BE"/>
    <w:rsid w:val="006323E4"/>
    <w:rsid w:val="00641C40"/>
    <w:rsid w:val="00650A3E"/>
    <w:rsid w:val="00675E5F"/>
    <w:rsid w:val="00676ECD"/>
    <w:rsid w:val="006A462B"/>
    <w:rsid w:val="006C543B"/>
    <w:rsid w:val="006D3359"/>
    <w:rsid w:val="00713785"/>
    <w:rsid w:val="00756254"/>
    <w:rsid w:val="007778D0"/>
    <w:rsid w:val="00784DCC"/>
    <w:rsid w:val="007A1F7D"/>
    <w:rsid w:val="007E0AD0"/>
    <w:rsid w:val="007E24ED"/>
    <w:rsid w:val="008046CF"/>
    <w:rsid w:val="00807B2D"/>
    <w:rsid w:val="00832D41"/>
    <w:rsid w:val="00857EAE"/>
    <w:rsid w:val="008C10CC"/>
    <w:rsid w:val="008C1668"/>
    <w:rsid w:val="008D5770"/>
    <w:rsid w:val="008D6CE9"/>
    <w:rsid w:val="008E2049"/>
    <w:rsid w:val="008F5532"/>
    <w:rsid w:val="00901CBB"/>
    <w:rsid w:val="00914070"/>
    <w:rsid w:val="009672BC"/>
    <w:rsid w:val="009B3A33"/>
    <w:rsid w:val="009D1392"/>
    <w:rsid w:val="00A21022"/>
    <w:rsid w:val="00A6161B"/>
    <w:rsid w:val="00AC1881"/>
    <w:rsid w:val="00B20101"/>
    <w:rsid w:val="00B53FED"/>
    <w:rsid w:val="00B63A0C"/>
    <w:rsid w:val="00B750B8"/>
    <w:rsid w:val="00BA2DE5"/>
    <w:rsid w:val="00BB4B8B"/>
    <w:rsid w:val="00BB7EEA"/>
    <w:rsid w:val="00BC507A"/>
    <w:rsid w:val="00BD42B3"/>
    <w:rsid w:val="00BE6DCD"/>
    <w:rsid w:val="00C0575A"/>
    <w:rsid w:val="00C36A7B"/>
    <w:rsid w:val="00C45F8C"/>
    <w:rsid w:val="00C560EC"/>
    <w:rsid w:val="00C83DC4"/>
    <w:rsid w:val="00C97E53"/>
    <w:rsid w:val="00CA5F20"/>
    <w:rsid w:val="00CB3579"/>
    <w:rsid w:val="00D17148"/>
    <w:rsid w:val="00D375B9"/>
    <w:rsid w:val="00D37BFC"/>
    <w:rsid w:val="00D65133"/>
    <w:rsid w:val="00D7319E"/>
    <w:rsid w:val="00D82E2B"/>
    <w:rsid w:val="00DD6F0C"/>
    <w:rsid w:val="00E10282"/>
    <w:rsid w:val="00E40B46"/>
    <w:rsid w:val="00EB10F8"/>
    <w:rsid w:val="00EC5C30"/>
    <w:rsid w:val="00ED0925"/>
    <w:rsid w:val="00EE1E2D"/>
    <w:rsid w:val="00F55D6C"/>
    <w:rsid w:val="00F62FB2"/>
    <w:rsid w:val="00F71C2A"/>
    <w:rsid w:val="00FF7F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44692294"/>
  <w15:chartTrackingRefBased/>
  <w15:docId w15:val="{5CD68CA6-3EB1-4036-9D33-C9FF44029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41C7A"/>
    <w:pPr>
      <w:widowControl w:val="0"/>
      <w:jc w:val="both"/>
    </w:pPr>
    <w:rPr>
      <w:kern w:val="2"/>
      <w:sz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alloon Text"/>
    <w:basedOn w:val="a"/>
    <w:semiHidden/>
    <w:rsid w:val="000F31AE"/>
    <w:rPr>
      <w:sz w:val="18"/>
      <w:szCs w:val="18"/>
    </w:rPr>
  </w:style>
  <w:style w:type="paragraph" w:styleId="a4">
    <w:name w:val="header"/>
    <w:basedOn w:val="a"/>
    <w:link w:val="Char"/>
    <w:rsid w:val="003750D2"/>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4"/>
    <w:rsid w:val="003750D2"/>
    <w:rPr>
      <w:kern w:val="2"/>
      <w:sz w:val="18"/>
      <w:szCs w:val="18"/>
    </w:rPr>
  </w:style>
  <w:style w:type="paragraph" w:styleId="a5">
    <w:name w:val="footer"/>
    <w:basedOn w:val="a"/>
    <w:link w:val="Char0"/>
    <w:rsid w:val="003750D2"/>
    <w:pPr>
      <w:tabs>
        <w:tab w:val="center" w:pos="4153"/>
        <w:tab w:val="right" w:pos="8306"/>
      </w:tabs>
      <w:snapToGrid w:val="0"/>
      <w:jc w:val="left"/>
    </w:pPr>
    <w:rPr>
      <w:sz w:val="18"/>
      <w:szCs w:val="18"/>
    </w:rPr>
  </w:style>
  <w:style w:type="character" w:customStyle="1" w:styleId="Char0">
    <w:name w:val="页脚 Char"/>
    <w:link w:val="a5"/>
    <w:rsid w:val="003750D2"/>
    <w:rPr>
      <w:kern w:val="2"/>
      <w:sz w:val="18"/>
      <w:szCs w:val="18"/>
    </w:rPr>
  </w:style>
  <w:style w:type="paragraph" w:customStyle="1" w:styleId="a6">
    <w:name w:val="条"/>
    <w:basedOn w:val="a"/>
    <w:rsid w:val="009672BC"/>
    <w:pPr>
      <w:snapToGrid w:val="0"/>
      <w:spacing w:beforeLines="50" w:before="50" w:afterLines="50" w:after="50" w:line="300" w:lineRule="auto"/>
    </w:pPr>
    <w:rPr>
      <w:rFonts w:eastAsia="黑体"/>
      <w:sz w:val="28"/>
      <w:szCs w:val="24"/>
    </w:rPr>
  </w:style>
  <w:style w:type="paragraph" w:customStyle="1" w:styleId="a7">
    <w:name w:val="正文格式"/>
    <w:basedOn w:val="a"/>
    <w:link w:val="a8"/>
    <w:qFormat/>
    <w:rsid w:val="00130112"/>
    <w:pPr>
      <w:spacing w:line="360" w:lineRule="auto"/>
      <w:ind w:firstLineChars="200" w:firstLine="200"/>
    </w:pPr>
    <w:rPr>
      <w:szCs w:val="24"/>
    </w:rPr>
  </w:style>
  <w:style w:type="paragraph" w:customStyle="1" w:styleId="a9">
    <w:name w:val="参考文献"/>
    <w:basedOn w:val="a"/>
    <w:link w:val="aa"/>
    <w:qFormat/>
    <w:rsid w:val="00A6161B"/>
    <w:pPr>
      <w:spacing w:line="360" w:lineRule="auto"/>
      <w:ind w:left="420" w:hanging="420"/>
      <w:textAlignment w:val="baseline"/>
    </w:pPr>
    <w:rPr>
      <w:rFonts w:cs="楷体_GB2312"/>
      <w:szCs w:val="24"/>
    </w:rPr>
  </w:style>
  <w:style w:type="character" w:customStyle="1" w:styleId="a8">
    <w:name w:val="正文格式 字符"/>
    <w:link w:val="a7"/>
    <w:rsid w:val="00130112"/>
    <w:rPr>
      <w:kern w:val="2"/>
      <w:sz w:val="24"/>
      <w:szCs w:val="24"/>
    </w:rPr>
  </w:style>
  <w:style w:type="character" w:customStyle="1" w:styleId="aa">
    <w:name w:val="参考文献 字符"/>
    <w:link w:val="a9"/>
    <w:rsid w:val="00A6161B"/>
    <w:rPr>
      <w:rFonts w:cs="楷体_GB2312"/>
      <w:kern w:val="2"/>
      <w:sz w:val="24"/>
      <w:szCs w:val="24"/>
    </w:rPr>
  </w:style>
  <w:style w:type="paragraph" w:styleId="ab">
    <w:name w:val="Revision"/>
    <w:hidden/>
    <w:uiPriority w:val="99"/>
    <w:semiHidden/>
    <w:rsid w:val="00D65133"/>
    <w:rPr>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635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312</Words>
  <Characters>328</Characters>
  <Application>Microsoft Office Word</Application>
  <DocSecurity>0</DocSecurity>
  <Lines>82</Lines>
  <Paragraphs>45</Paragraphs>
  <ScaleCrop>false</ScaleCrop>
  <Company>Tongji University</Company>
  <LinksUpToDate>false</LinksUpToDate>
  <CharactersWithSpaces>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附录1</dc:title>
  <dc:subject/>
  <dc:creator>JW112</dc:creator>
  <cp:keywords/>
  <cp:lastModifiedBy>卫恒 张</cp:lastModifiedBy>
  <cp:revision>2</cp:revision>
  <cp:lastPrinted>2026-05-08T02:40:00Z</cp:lastPrinted>
  <dcterms:created xsi:type="dcterms:W3CDTF">2026-09-23T01:24:00Z</dcterms:created>
  <dcterms:modified xsi:type="dcterms:W3CDTF">2026-09-23T01:24:00Z</dcterms:modified>
</cp:coreProperties>
</file>