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spacing w:line="240" w:lineRule="auto"/>
        <w:rPr>
          <w:rFonts w:hint="eastAsia" w:ascii="黑体" w:eastAsia="黑体"/>
          <w:sz w:val="72"/>
        </w:rPr>
      </w:pPr>
      <w:r>
        <w:rPr>
          <w:rFonts w:ascii="黑体" w:eastAsia="黑体"/>
          <w:sz w:val="48"/>
        </w:rPr>
        <w:t xml:space="preserve"> </w:t>
      </w:r>
      <w:r>
        <w:rPr>
          <w:rFonts w:hint="eastAsia" w:ascii="黑体" w:eastAsia="黑体"/>
          <w:sz w:val="72"/>
        </w:rPr>
        <w:t>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permStart w:id="0" w:edGrp="everyone" w:colFirst="1" w:colLast="1"/>
            <w:r>
              <w:rPr>
                <w:rFonts w:ascii="宋体" w:hAnsi="宋体"/>
                <w:sz w:val="28"/>
                <w:szCs w:val="28"/>
              </w:rPr>
              <w:t>课题名称</w:t>
            </w:r>
          </w:p>
        </w:tc>
        <w:tc>
          <w:tcPr>
            <w:tcW w:w="5607" w:type="dxa"/>
            <w:gridSpan w:val="3"/>
            <w:tcBorders>
              <w:bottom w:val="single" w:color="auto" w:sz="4" w:space="0"/>
            </w:tcBorders>
            <w:vAlign w:val="bottom"/>
          </w:tcPr>
          <w:p w14:paraId="7DC6BB69">
            <w:pPr>
              <w:spacing w:before="0" w:after="0" w:line="240" w:lineRule="auto"/>
              <w:jc w:val="center"/>
              <w:rPr>
                <w:rFonts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permStart w:id="1" w:edGrp="everyone" w:colFirst="1" w:colLast="1"/>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68917084">
            <w:pPr>
              <w:rPr>
                <w:rFonts w:ascii="宋体" w:hAnsi="宋体"/>
                <w:sz w:val="28"/>
                <w:szCs w:val="28"/>
              </w:rPr>
            </w:pPr>
          </w:p>
        </w:tc>
      </w:tr>
      <w:permEnd w:id="1"/>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permStart w:id="2" w:edGrp="everyone" w:colFirst="1" w:colLast="1"/>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70E9C4C5">
            <w:pPr>
              <w:spacing w:before="0" w:after="0" w:line="240" w:lineRule="auto"/>
              <w:jc w:val="center"/>
              <w:rPr>
                <w:rFonts w:ascii="宋体" w:hAnsi="宋体"/>
                <w:sz w:val="28"/>
                <w:szCs w:val="28"/>
              </w:rPr>
            </w:pPr>
            <w:r>
              <w:rPr>
                <w:rFonts w:ascii="Times New Roman" w:hAnsi="Times New Roman" w:eastAsia="宋体" w:cs="Times New Roman"/>
                <w:b w:val="0"/>
                <w:sz w:val="28"/>
              </w:rPr>
              <w:t>机械工程与机器人学院</w:t>
            </w:r>
          </w:p>
        </w:tc>
      </w:tr>
      <w:permEnd w:id="2"/>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permStart w:id="3" w:edGrp="everyone" w:colFirst="1" w:colLast="1"/>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789C06FD">
            <w:pPr>
              <w:spacing w:before="0" w:after="0" w:line="240" w:lineRule="auto"/>
              <w:jc w:val="center"/>
              <w:rPr>
                <w:rFonts w:ascii="宋体" w:hAnsi="宋体"/>
                <w:sz w:val="28"/>
                <w:szCs w:val="28"/>
              </w:rPr>
            </w:pPr>
            <w:r>
              <w:rPr>
                <w:rFonts w:ascii="Times New Roman" w:hAnsi="Times New Roman" w:eastAsia="宋体" w:cs="Times New Roman"/>
                <w:b w:val="0"/>
                <w:sz w:val="28"/>
              </w:rPr>
              <w:t>机械设计制造及其自动化</w:t>
            </w:r>
          </w:p>
        </w:tc>
      </w:tr>
      <w:permEnd w:id="3"/>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permStart w:id="4" w:edGrp="everyone" w:colFirst="1" w:colLast="1"/>
            <w:permStart w:id="5" w:edGrp="everyone" w:colFirst="3" w:colLast="3"/>
            <w:r>
              <w:rPr>
                <w:rFonts w:ascii="宋体" w:hAnsi="宋体"/>
                <w:sz w:val="28"/>
                <w:szCs w:val="28"/>
              </w:rPr>
              <w:t>学生姓名</w:t>
            </w:r>
          </w:p>
        </w:tc>
        <w:tc>
          <w:tcPr>
            <w:tcW w:w="1642" w:type="dxa"/>
            <w:tcBorders>
              <w:bottom w:val="single" w:color="auto" w:sz="4" w:space="0"/>
            </w:tcBorders>
            <w:vAlign w:val="bottom"/>
          </w:tcPr>
          <w:p w14:paraId="7CAFE2BC">
            <w:pPr>
              <w:spacing w:before="0" w:after="0" w:line="240" w:lineRule="auto"/>
              <w:jc w:val="center"/>
              <w:rPr>
                <w:rFonts w:ascii="宋体" w:hAnsi="宋体"/>
                <w:sz w:val="28"/>
                <w:szCs w:val="28"/>
              </w:rPr>
            </w:pPr>
            <w:r>
              <w:rPr>
                <w:rFonts w:ascii="Times New Roman" w:hAnsi="Times New Roman" w:eastAsia="宋体" w:cs="Times New Roman"/>
                <w:b w:val="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7286FA24">
            <w:pPr>
              <w:spacing w:before="0" w:after="0" w:line="240" w:lineRule="auto"/>
              <w:jc w:val="center"/>
              <w:rPr>
                <w:rFonts w:ascii="宋体" w:hAnsi="宋体"/>
                <w:sz w:val="28"/>
                <w:szCs w:val="28"/>
              </w:rPr>
            </w:pPr>
            <w:r>
              <w:rPr>
                <w:rFonts w:ascii="Times New Roman" w:hAnsi="Times New Roman" w:eastAsia="宋体" w:cs="Times New Roman"/>
                <w:b w:val="0"/>
                <w:sz w:val="28"/>
              </w:rPr>
              <w:t>2352407</w:t>
            </w:r>
          </w:p>
        </w:tc>
      </w:tr>
      <w:permEnd w:id="4"/>
      <w:permEnd w:id="5"/>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bottom"/>
          </w:tcPr>
          <w:p w14:paraId="7B4A7919">
            <w:pPr>
              <w:spacing w:before="0" w:after="0" w:line="240" w:lineRule="auto"/>
              <w:jc w:val="center"/>
              <w:rPr>
                <w:rFonts w:hint="eastAsia" w:ascii="宋体" w:hAnsi="宋体"/>
                <w:sz w:val="28"/>
                <w:szCs w:val="28"/>
              </w:rPr>
            </w:pPr>
            <w:permStart w:id="6" w:edGrp="everyone" w:colFirst="0" w:colLast="0"/>
            <w:permStart w:id="7" w:edGrp="everyone" w:colFirst="2" w:colLast="2"/>
            <w:permStart w:id="8" w:edGrp="everyone" w:colFirst="4" w:colLast="4"/>
            <w:r>
              <w:rPr>
                <w:rFonts w:ascii="Times New Roman" w:hAnsi="Times New Roman" w:eastAsia="宋体" w:cs="Times New Roman"/>
                <w:b w:val="0"/>
                <w:sz w:val="28"/>
              </w:rPr>
              <w:t>2026</w:t>
            </w:r>
          </w:p>
        </w:tc>
        <w:tc>
          <w:tcPr>
            <w:tcW w:w="850" w:type="dxa"/>
            <w:vAlign w:val="bottom"/>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bottom"/>
          </w:tcPr>
          <w:p w14:paraId="7BB9ED3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10</w:t>
            </w:r>
          </w:p>
        </w:tc>
        <w:tc>
          <w:tcPr>
            <w:tcW w:w="446" w:type="dxa"/>
            <w:vAlign w:val="bottom"/>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bottom"/>
          </w:tcPr>
          <w:p w14:paraId="02C927EB">
            <w:pPr>
              <w:spacing w:before="0" w:after="0" w:line="240" w:lineRule="auto"/>
              <w:jc w:val="center"/>
              <w:rPr>
                <w:rFonts w:hint="eastAsia" w:ascii="宋体" w:hAnsi="宋体"/>
                <w:sz w:val="28"/>
                <w:szCs w:val="28"/>
              </w:rPr>
            </w:pPr>
            <w:r>
              <w:rPr>
                <w:rFonts w:ascii="Times New Roman" w:hAnsi="Times New Roman" w:eastAsia="宋体" w:cs="Times New Roman"/>
                <w:b w:val="0"/>
                <w:sz w:val="28"/>
              </w:rPr>
              <w:t>9</w:t>
            </w:r>
          </w:p>
        </w:tc>
        <w:tc>
          <w:tcPr>
            <w:tcW w:w="466" w:type="dxa"/>
            <w:vAlign w:val="bottom"/>
          </w:tcPr>
          <w:p w14:paraId="7A0D0955">
            <w:pPr>
              <w:jc w:val="center"/>
              <w:rPr>
                <w:rFonts w:hint="eastAsia" w:ascii="宋体" w:hAnsi="宋体"/>
                <w:sz w:val="28"/>
                <w:szCs w:val="28"/>
              </w:rPr>
            </w:pPr>
            <w:r>
              <w:rPr>
                <w:rFonts w:hint="eastAsia" w:ascii="宋体" w:hAnsi="宋体"/>
                <w:sz w:val="28"/>
                <w:szCs w:val="28"/>
              </w:rPr>
              <w:t>日</w:t>
            </w:r>
          </w:p>
        </w:tc>
      </w:tr>
      <w:permEnd w:id="6"/>
      <w:permEnd w:id="7"/>
      <w:permEnd w:id="8"/>
    </w:tbl>
    <w:p w14:paraId="6D33EC83">
      <w:pPr>
        <w:ind w:firstLine="560"/>
        <w:rPr>
          <w:rFonts w:hint="eastAsia" w:ascii="宋体" w:hAnsi="宋体"/>
          <w:sz w:val="28"/>
          <w:szCs w:val="28"/>
        </w:rPr>
      </w:pPr>
    </w:p>
    <w:p w14:paraId="7C055745">
      <w:pPr>
        <w:spacing w:before="120" w:beforeLines="50" w:after="120" w:afterLines="50" w:line="360" w:lineRule="auto"/>
        <w:ind w:firstLine="560" w:firstLineChars="0"/>
        <w:rPr>
          <w:rFonts w:hint="eastAsia" w:ascii="楷体" w:hAnsi="宋体" w:eastAsia="楷体"/>
        </w:rPr>
      </w:pPr>
      <w:r>
        <w:rPr>
          <w:rFonts w:ascii="Times New Roman" w:hAnsi="Times New Roman" w:eastAsia="黑体" w:cs="Times New Roman"/>
          <w:b w:val="0"/>
          <w:sz w:val="28"/>
          <w:szCs w:val="28"/>
        </w:rPr>
        <w:br w:type="page"/>
      </w:r>
      <w:r>
        <w:rPr>
          <w:rFonts w:hint="eastAsia" w:ascii="Times New Roman" w:hAnsi="Times New Roman" w:eastAsia="黑体" w:cs="Times New Roman"/>
          <w:b w:val="0"/>
          <w:sz w:val="28"/>
        </w:rPr>
        <w:t>一、</w:t>
      </w:r>
      <w:permStart w:id="9" w:edGrp="everyone"/>
      <w:r>
        <w:rPr>
          <w:rFonts w:hint="eastAsia" w:ascii="Times New Roman" w:hAnsi="Times New Roman" w:eastAsia="黑体" w:cs="Times New Roman"/>
          <w:b w:val="0"/>
          <w:sz w:val="28"/>
        </w:rPr>
        <w:t>毕业论文</w:t>
      </w:r>
      <w:permEnd w:id="9"/>
      <w:r>
        <w:rPr>
          <w:rFonts w:hint="eastAsia" w:ascii="Times New Roman" w:hAnsi="Times New Roman" w:eastAsia="黑体" w:cs="Times New Roman"/>
          <w:b w:val="0"/>
          <w:sz w:val="28"/>
        </w:rPr>
        <w:t>课题背景</w:t>
      </w:r>
    </w:p>
    <w:p w14:paraId="26F346DF">
      <w:pPr>
        <w:pStyle w:val="9"/>
        <w:spacing w:before="120" w:beforeLines="50" w:after="120" w:afterLines="50" w:line="360" w:lineRule="auto"/>
        <w:ind w:firstLine="0" w:firstLineChars="0"/>
        <w:rPr>
          <w:sz w:val="24"/>
        </w:rPr>
      </w:pPr>
      <w:permStart w:id="10"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课题来源及研究的目的和意义</w:t>
      </w:r>
    </w:p>
    <w:p w14:paraId="5957FA75">
      <w:pPr>
        <w:pStyle w:val="10"/>
        <w:spacing w:before="0" w:beforeLines="0" w:after="0" w:afterLines="0" w:line="360" w:lineRule="auto"/>
        <w:ind w:firstLine="480" w:firstLineChars="200"/>
      </w:pPr>
      <w:r>
        <w:rPr>
          <w:rFonts w:ascii="Times New Roman" w:hAnsi="Times New Roman" w:eastAsia="宋体" w:cs="Times New Roman"/>
          <w:b w:val="0"/>
          <w:sz w:val="24"/>
        </w:rPr>
        <w:t>随着“海洋强国”战略的推进，水下基础设施的安全运维对小型水下航行器提出了更高要求。《“十四五”机器人产业发展规划》</w:t>
      </w:r>
      <w:r>
        <w:rPr>
          <w:rFonts w:ascii="Times New Roman" w:hAnsi="Times New Roman" w:eastAsia="宋体" w:cs="Times New Roman"/>
          <w:b w:val="0"/>
          <w:sz w:val="24"/>
          <w:vertAlign w:val="superscript"/>
        </w:rPr>
        <w:t>[1]</w:t>
      </w:r>
      <w:r>
        <w:rPr>
          <w:rFonts w:ascii="Times New Roman" w:hAnsi="Times New Roman" w:eastAsia="宋体" w:cs="Times New Roman"/>
          <w:b w:val="0"/>
          <w:sz w:val="24"/>
        </w:rPr>
        <w:t>将水下探测、监测和作业机器人纳入特种机器人重点发展方向；《“机器人+”应用行动实施方案》</w:t>
      </w:r>
      <w:r>
        <w:rPr>
          <w:rFonts w:ascii="Times New Roman" w:hAnsi="Times New Roman" w:eastAsia="宋体" w:cs="Times New Roman"/>
          <w:b w:val="0"/>
          <w:sz w:val="24"/>
          <w:vertAlign w:val="superscript"/>
        </w:rPr>
        <w:t>[2]</w:t>
      </w:r>
      <w:r>
        <w:rPr>
          <w:rFonts w:ascii="Times New Roman" w:hAnsi="Times New Roman" w:eastAsia="宋体" w:cs="Times New Roman"/>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14:paraId="5A77C9DB">
      <w:pPr>
        <w:pStyle w:val="10"/>
        <w:spacing w:before="0" w:beforeLines="0" w:after="0" w:afterLines="0" w:line="360" w:lineRule="auto"/>
        <w:ind w:firstLine="480" w:firstLineChars="200"/>
      </w:pPr>
      <w:r>
        <w:rPr>
          <w:rFonts w:ascii="Times New Roman" w:hAnsi="Times New Roman" w:eastAsia="宋体" w:cs="Times New Roman"/>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eastAsia="宋体" w:cs="Times New Roman"/>
          <w:b w:val="0"/>
          <w:sz w:val="24"/>
          <w:vertAlign w:val="superscript"/>
        </w:rPr>
        <w:t>[3]</w:t>
      </w:r>
      <w:r>
        <w:rPr>
          <w:rFonts w:ascii="Times New Roman" w:hAnsi="Times New Roman" w:eastAsia="宋体" w:cs="Times New Roman"/>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14:paraId="5C6839AC">
      <w:pPr>
        <w:pStyle w:val="10"/>
        <w:spacing w:before="0" w:beforeLines="0" w:after="0" w:afterLines="0" w:line="360" w:lineRule="auto"/>
        <w:ind w:firstLine="480" w:firstLineChars="200"/>
      </w:pPr>
      <w:r>
        <w:rPr>
          <w:rFonts w:ascii="Times New Roman" w:hAnsi="Times New Roman" w:eastAsia="宋体" w:cs="Times New Roman"/>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eastAsia="宋体" w:cs="Times New Roman"/>
          <w:b w:val="0"/>
          <w:sz w:val="24"/>
          <w:vertAlign w:val="superscript"/>
        </w:rPr>
        <w:t>[4]</w:t>
      </w:r>
      <w:r>
        <w:rPr>
          <w:rFonts w:ascii="Times New Roman" w:hAnsi="Times New Roman" w:eastAsia="宋体" w:cs="Times New Roman"/>
          <w:b w:val="0"/>
          <w:sz w:val="24"/>
        </w:rPr>
        <w:t>。因此，面向具体航行器的动力学特性及推进器约束，在PX4相关环境中开展MPC算法的适配与验证具有研究价值。</w:t>
      </w:r>
    </w:p>
    <w:p w14:paraId="4100DB2C">
      <w:pPr>
        <w:pStyle w:val="9"/>
        <w:tabs>
          <w:tab w:val="left" w:pos="7083"/>
        </w:tabs>
        <w:spacing w:before="180" w:beforeLines="50" w:after="180" w:afterLines="50" w:line="360" w:lineRule="auto"/>
        <w:ind w:firstLine="0" w:firstLineChars="0"/>
        <w:rPr>
          <w:rFonts w:hint="eastAsia"/>
          <w:sz w:val="24"/>
        </w:rPr>
      </w:pPr>
      <w:r>
        <w:rPr>
          <w:rFonts w:ascii="Times New Roman" w:hAnsi="Times New Roman" w:eastAsia="黑体" w:cs="Times New Roman"/>
          <w:b/>
          <w:strike w:val="0"/>
          <w:sz w:val="24"/>
        </w:rPr>
        <w:t>2． 国内外在该方向的研究现状</w:t>
      </w:r>
      <w:r>
        <w:rPr>
          <w:rFonts w:hint="eastAsia" w:ascii="Times New Roman" w:hAnsi="Times New Roman" w:eastAsia="黑体" w:cs="Times New Roman"/>
          <w:b/>
          <w:strike w:val="0"/>
          <w:sz w:val="24"/>
        </w:rPr>
        <w:t>和发展趋势</w:t>
      </w:r>
    </w:p>
    <w:p w14:paraId="76702F0C">
      <w:pPr>
        <w:pStyle w:val="10"/>
        <w:spacing w:before="120" w:after="60" w:line="360" w:lineRule="auto"/>
        <w:ind w:firstLine="480" w:firstLineChars="200"/>
      </w:pPr>
      <w:r>
        <w:rPr>
          <w:rFonts w:ascii="Times New Roman" w:hAnsi="Times New Roman" w:eastAsia="黑体" w:cs="Times New Roman"/>
          <w:b/>
          <w:strike w:val="0"/>
          <w:color w:val="000000"/>
          <w:sz w:val="24"/>
          <w:u w:val="none"/>
        </w:rPr>
        <w:t>2.1 水下航行器动力学建模与参数辨识研究现状</w:t>
      </w:r>
    </w:p>
    <w:p w14:paraId="593C78B7">
      <w:pPr>
        <w:pStyle w:val="10"/>
        <w:spacing w:before="0" w:after="0" w:line="360" w:lineRule="auto"/>
        <w:ind w:firstLine="480" w:firstLineChars="200"/>
        <w:rPr>
          <w:rFonts w:ascii="Times New Roman" w:hAnsi="Times New Roman" w:eastAsia="宋体" w:cs="Times New Roman"/>
          <w:b w:val="0"/>
          <w:strike w:val="0"/>
          <w:color w:val="000000"/>
          <w:sz w:val="24"/>
          <w:u w:val="none"/>
        </w:rPr>
      </w:pPr>
      <w:r>
        <w:rPr>
          <w:rFonts w:ascii="Times New Roman" w:hAnsi="Times New Roman" w:eastAsia="宋体" w:cs="Times New Roman"/>
          <w:b w:val="0"/>
          <w:strike w:val="0"/>
          <w:color w:val="000000"/>
          <w:sz w:val="24"/>
          <w:u w:val="none"/>
        </w:rPr>
        <w:t>水下航行器具有多自由度耦合、非线性水动力显著及环境扰动复杂等动力学特征，其运动状态受到刚体惯性、流体附加质量、水动力阻尼、浮重力恢复力矩及推进器输出等因素的共同影响。动力学模型的准确性直接关系到航行器运动状态预测、控制器参数设计及多自由度协调控制的性能。</w:t>
      </w:r>
    </w:p>
    <w:p w14:paraId="19749E5A">
      <w:pPr>
        <w:pStyle w:val="10"/>
        <w:spacing w:before="0" w:after="0" w:line="360" w:lineRule="auto"/>
        <w:ind w:firstLine="480" w:firstLineChars="200"/>
      </w:pPr>
      <w:r>
        <w:rPr>
          <w:rFonts w:ascii="Times New Roman" w:hAnsi="Times New Roman" w:eastAsia="宋体" w:cs="Times New Roman"/>
          <w:b w:val="0"/>
          <w:strike w:val="0"/>
          <w:color w:val="000000"/>
          <w:sz w:val="24"/>
          <w:u w:val="none"/>
        </w:rPr>
        <w:t>在机理建模方面，Fossen[5]建立了海洋航行器六自由度非线性动力学的统一数学描述，将刚体动力学、流体附加质量、科里奥利与向心力、水动力阻尼及静水恢复力等因素纳入系统模型，为水下航行器动力学分析与控制器设计奠定了理论基础。国内学者严卫生等[6]系统论述了水下航行器动力学建模、运动控制及相关控制技术，推动了六自由度动力学理论在水下装备控制中的应用。针对不同航行器构型，Prestero[7]建立并验证了REMUS自主水下航行器的六自由度仿真模型，形成了面向流线型航行器的动力学建模与模型校验方法；Caccia等[8]针对开架式可变构型水下航行器，研究了包含推进器与艇体相互作用的集中参数动力学模型，并利用试验数据开展参数辨识，揭示了推进器安装特性及流体相互作用对运动响应的影响。Smallwood与Whitcomb[9]进一步结合水下机器人动力定位实验研究了基于模型的运动控制方法，体现了动力学模型在低速精确定位与多轴协调控制中的应用价值。近年来，von Benzon等[10]基于Fossen动力学框架构建了BlueROV2开源仿真基准模型，综合考虑水动力、推进器动态、浮重力、水流及系缆作用，并通过试验对部分水动力参数和推进器模型进行校验，进一步拓展了开架式多推进器航行器的动力学仿真研究。</w:t>
      </w:r>
      <w:r>
        <w:rPr>
          <w:rFonts w:ascii="Times New Roman" w:hAnsi="Times New Roman" w:eastAsia="宋体" w:cs="Times New Roman"/>
          <w:b w:val="0"/>
          <w:strike w:val="0"/>
          <w:color w:val="0000FF"/>
          <w:sz w:val="24"/>
          <w:u w:val="none"/>
        </w:rPr>
        <w:t>上述成果形成了由通用六自由度动力学理论向具体航行器构型建模与实验校验发展的研究体系。</w:t>
      </w:r>
    </w:p>
    <w:p w14:paraId="0339C434">
      <w:pPr>
        <w:pStyle w:val="10"/>
        <w:spacing w:before="0" w:after="0" w:line="360" w:lineRule="auto"/>
        <w:ind w:firstLine="480" w:firstLineChars="200"/>
        <w:rPr>
          <w:rFonts w:ascii="Times New Roman" w:hAnsi="Times New Roman" w:eastAsia="宋体" w:cs="Times New Roman"/>
          <w:b w:val="0"/>
          <w:strike w:val="0"/>
          <w:color w:val="000000"/>
          <w:sz w:val="24"/>
          <w:u w:val="none"/>
        </w:rPr>
      </w:pPr>
      <w:r>
        <w:rPr>
          <w:rFonts w:ascii="Times New Roman" w:hAnsi="Times New Roman" w:eastAsia="宋体" w:cs="Times New Roman"/>
          <w:b w:val="0"/>
          <w:strike w:val="0"/>
          <w:color w:val="000000"/>
          <w:sz w:val="24"/>
          <w:u w:val="none"/>
        </w:rPr>
        <w:t>在水动力参数获取与系统辨识方面，现有研究主要采用计算流体力学（Computational Fluid Dynamics，CFD）、水池试验及基于运动响应数据的参数辨识等技术路线。高婷等[11]研究了水下航行器水动力系数的数值计算方法，为基于数值仿真的水动力参数获取提供了参考。Chin与Lau[12]针对复杂外形水下机器人开展低速水动力阻尼建模与试验研究，Ross等[13]利用自由衰减试验辨识水下航行器的水动力系数，Avila与Adamowski[14]通过实验模型辨识研究了开架式水下航行器的动力学特性。进一步地，Harris等[15]提出稳定零空间自适应参数辨识方法，将六自由度运动系统与执行器模型纳入联合辨识框架，拓展了复杂动力学系统参数辨识的研究思路。总体而言，CFD方法能够提供较丰富的流场与受力信息，但计算结果受到湍流模型、网格精度及边界条件的影响；试验辨识与在线系统辨识具有较强的对象针对性，其结果则与运动激励的充分性、传感器测量精度及参数可辨识性密切相关。</w:t>
      </w:r>
    </w:p>
    <w:p w14:paraId="19C9F136">
      <w:pPr>
        <w:pStyle w:val="10"/>
        <w:spacing w:before="0" w:after="0" w:line="360" w:lineRule="auto"/>
        <w:ind w:firstLine="480" w:firstLineChars="200"/>
      </w:pPr>
      <w:r>
        <w:rPr>
          <w:rFonts w:ascii="Times New Roman" w:hAnsi="Times New Roman" w:eastAsia="宋体" w:cs="Times New Roman"/>
          <w:b w:val="0"/>
          <w:strike w:val="0"/>
          <w:color w:val="000000"/>
          <w:sz w:val="24"/>
          <w:u w:val="none"/>
        </w:rPr>
        <w:t>随着数据驱动建模与机器学习技术的发展，数据驱动与物理机理融合逐渐成为研究热</w:t>
      </w:r>
      <w:r>
        <w:rPr>
          <w:rFonts w:hint="eastAsia" w:cs="Times New Roman"/>
          <w:b w:val="0"/>
          <w:strike w:val="0"/>
          <w:color w:val="000000"/>
          <w:sz w:val="24"/>
          <w:u w:val="none"/>
          <w:lang w:val="en-US" w:eastAsia="zh-CN"/>
        </w:rPr>
        <w:t>点</w:t>
      </w:r>
      <w:r>
        <w:rPr>
          <w:rFonts w:ascii="Times New Roman" w:hAnsi="Times New Roman" w:eastAsia="宋体" w:cs="Times New Roman"/>
          <w:b w:val="0"/>
          <w:strike w:val="0"/>
          <w:color w:val="000000"/>
          <w:sz w:val="24"/>
          <w:u w:val="none"/>
        </w:rPr>
        <w:t>。Brunton等[16]提出稀疏非线性动力学辨识方法（SINDy），通过构</w:t>
      </w:r>
      <w:bookmarkStart w:id="0" w:name="_GoBack"/>
      <w:bookmarkEnd w:id="0"/>
      <w:r>
        <w:rPr>
          <w:rFonts w:ascii="Times New Roman" w:hAnsi="Times New Roman" w:eastAsia="宋体" w:cs="Times New Roman"/>
          <w:b w:val="0"/>
          <w:strike w:val="0"/>
          <w:color w:val="000000"/>
          <w:sz w:val="24"/>
          <w:u w:val="none"/>
        </w:rPr>
        <w:t>建候选非线性函数库并进行稀疏回归，从系统状态及其变化数据中提取主导动力学项，进而获得具有显式数学表达和较强可解释性的动力学方程。该方法能够在保持模型结构相对紧凑的同时表征复杂非线性关系，为水动力阻尼、运动耦合及未知动力学项的结构辨识提供了新的研究思路。其辨识效果与候选函数库的构造、状态导数估计精度及训练数据对运动工况的覆盖程度密切相关。</w:t>
      </w:r>
    </w:p>
    <w:p w14:paraId="20CA654A">
      <w:pPr>
        <w:pStyle w:val="10"/>
        <w:spacing w:before="0" w:after="0" w:line="360" w:lineRule="auto"/>
        <w:ind w:firstLine="480" w:firstLineChars="200"/>
      </w:pPr>
      <w:r>
        <w:rPr>
          <w:rFonts w:ascii="Times New Roman" w:hAnsi="Times New Roman" w:eastAsia="宋体" w:cs="Times New Roman"/>
          <w:b w:val="0"/>
          <w:strike w:val="0"/>
          <w:color w:val="000000"/>
          <w:sz w:val="24"/>
          <w:u w:val="none"/>
        </w:rPr>
        <w:t>Raissi等[17]提出物理信息神经网络（Physics-Informed Neural Networks，PINN），通过在神经网络训练目标中引入物理控制方程及相应初边值约束，实现物理规律与观测数据的联合学习。该方法最初主要应用于微分方程正问题与反问题求解，其物理约束学习机制也为水下航行器动力学参数反演和未知动态建模提供了方法基础。在已知部分动力学结构的条件下，通过引入刚体运动方程、动力学平衡关系或相应物理残差，可在数据学习过程中融入物理先验，增强模型的物理一致性，并改善有限样本条件下的辨识能力。Chen等[18]提出神经常微分方程（Neural Ordinary Differential Equations，Neural ODE），利用神经网络参数化系统状态的时间导数，并通过数值积分求解连续时间状态演化过程。与直接建立离散时间状态映射的模型相比，Neural ODE能够以连续时间动力系统形式描述非线性运动规律，具有处理非均匀时间采样数据及构建可微分动力学预测模型的优势。在水下机器人应用方面，Liu等[19]研究了基于Koopman算子的仿生水下机器人水动力在线辨识方法，将仿真数据获得的先验模型与实际运动数据相结合，通过在线参数更新提高动力学模型的适应能力，体现了数据驱动建模与仿真到现实迁移相结合的研究进展。</w:t>
      </w:r>
    </w:p>
    <w:p w14:paraId="5FC6F7DA">
      <w:pPr>
        <w:pStyle w:val="10"/>
        <w:spacing w:before="0" w:after="0" w:line="360" w:lineRule="auto"/>
        <w:ind w:firstLine="480" w:firstLineChars="200"/>
      </w:pPr>
      <w:r>
        <w:rPr>
          <w:rFonts w:ascii="Times New Roman" w:hAnsi="Times New Roman" w:eastAsia="宋体" w:cs="Times New Roman"/>
          <w:b w:val="0"/>
          <w:strike w:val="0"/>
          <w:color w:val="000000"/>
          <w:sz w:val="24"/>
          <w:u w:val="none"/>
        </w:rPr>
        <w:t>从建模方法的技术特征来看，传统机理模型具有物理意义明确、数学结构清晰及在线计算效率较高等优势，适用于动力学机理相对明确且需要实时预测的控制系统，但其预测性能受到参数不确定性和模型简化误差的影响；纯数据驱动模型具有较强的复杂非线性拟合能力，其泛化性能通常依赖训练数据的覆盖范围；物理引导的灰箱建模则通过机理模型与数据学习相结合，在物理可解释性和未建模动态表征能力之间形成互补。SINDy侧重显式动力学结构发现，PINN侧重物理约束下的数据学习与参数反演，Neural ODE侧重连续时间非线性状态演化建模，三者为控制导向动力学建模提供了不同的技术路径。与此同时，数据噪声、参数变化及长时域误差累积会影响模型的多步预测稳定性，神经网络推理和微分方程数值积分也会增加在线计算负担。因此，兼顾物理一致性、状态预测精度与嵌入式计算效率，已成为水下航行器动力学建模与参数辨识领域的重要发展方向。</w:t>
      </w:r>
    </w:p>
    <w:p w14:paraId="3D2ECE2A">
      <w:pPr>
        <w:pStyle w:val="10"/>
        <w:spacing w:before="120" w:after="60" w:line="360" w:lineRule="auto"/>
        <w:ind w:firstLine="480" w:firstLineChars="200"/>
      </w:pPr>
      <w:r>
        <w:rPr>
          <w:rFonts w:ascii="Times New Roman" w:hAnsi="Times New Roman" w:eastAsia="黑体" w:cs="Times New Roman"/>
          <w:b/>
          <w:strike w:val="0"/>
          <w:color w:val="000000"/>
          <w:sz w:val="24"/>
          <w:u w:val="none"/>
        </w:rPr>
        <w:t>2.2 多推进器受约束运动控制与推力分配研究现状</w:t>
      </w:r>
    </w:p>
    <w:p w14:paraId="197FB69B">
      <w:pPr>
        <w:pStyle w:val="10"/>
        <w:spacing w:before="0" w:after="0" w:line="360" w:lineRule="auto"/>
        <w:ind w:firstLine="480" w:firstLineChars="200"/>
      </w:pPr>
      <w:r>
        <w:rPr>
          <w:rFonts w:ascii="Times New Roman" w:hAnsi="Times New Roman" w:eastAsia="宋体" w:cs="Times New Roman"/>
          <w:b w:val="0"/>
          <w:strike w:val="0"/>
          <w:color w:val="000000"/>
          <w:sz w:val="24"/>
          <w:u w:val="none"/>
        </w:rPr>
        <w:t>多推进器水下航行器的运动控制涉及多自由度动力学耦合、环境扰动抑制及执行机构约束协调等问题。随着水下作业任务由常规航迹跟踪向精确悬停、复杂轨迹跟踪和近距离作业发展，相关控制方法逐步由经典反馈控制向鲁棒自适应控制及显式约束优化控制演进。同时，多推进器冗余配置使期望广义力向实际推进器推力的转换具有多解性，推动了控制分配方法由解析逆分配向受约束优化分配发展。运动控制与推力分配由此形成了相互关联的研究方向。</w:t>
      </w:r>
    </w:p>
    <w:p w14:paraId="64769978">
      <w:pPr>
        <w:pStyle w:val="10"/>
        <w:spacing w:before="0" w:after="0" w:line="360" w:lineRule="auto"/>
        <w:ind w:firstLine="480" w:firstLineChars="200"/>
      </w:pPr>
      <w:r>
        <w:rPr>
          <w:rFonts w:ascii="Times New Roman" w:hAnsi="Times New Roman" w:eastAsia="宋体" w:cs="Times New Roman"/>
          <w:b w:val="0"/>
          <w:strike w:val="0"/>
          <w:color w:val="000000"/>
          <w:sz w:val="24"/>
          <w:u w:val="none"/>
        </w:rPr>
        <w:t>在经典反馈与鲁棒运动控制方面，Yuh[20]系统综述了自主水下机器人的设计与控制技术，朱大奇和孙兵[21]梳理了水下机器人运动控制方法的发展，涵盖经典反馈、鲁棒控制及智能控制等主要技术路线。比例—积分—微分（Proportional-Integral-Derivative，PID）控制由于结构简单、参数整定方便且计算开销较低，广泛应用于水下航行器的姿态稳定、深度保持及速度控制等任务。通过引入动力学前馈补偿、增益调度及抗积分饱和机制，PID控制能够改善特定工作范围内的动态响应与抗扰性能。针对水下航行器的非线性耦合及模型不确定性，Yoerger与Slotine[22]研究了水下航行器鲁棒轨迹控制方法，Healey与Lienard[23]提出多变量滑模控制方法，以增强系统对动力学参数变化及外部扰动的鲁棒性。Chu等[24]进一步研究了考虑推进器动态与输入饱和约束的遥控水下航行器自适应轨迹跟踪控制方法，将执行机构非理想特性引入控制器设计。总体来看，经典反馈与鲁棒控制方法具有控制结构相对紧凑、实时实现条件较成熟等优势，其中滑模与自适应控制能够针对一定范围内的模型不确定性和外部扰动提高跟踪性能；其约束处理通常依赖抗饱和补偿、控制律修正及辅助动态系统，控制效果与扰动假设、参数整定和执行器特性密切相关。</w:t>
      </w:r>
    </w:p>
    <w:p w14:paraId="477ED6CC">
      <w:pPr>
        <w:pStyle w:val="10"/>
        <w:spacing w:before="0" w:after="0" w:line="360" w:lineRule="auto"/>
        <w:ind w:firstLine="480" w:firstLineChars="200"/>
      </w:pPr>
      <w:r>
        <w:rPr>
          <w:rFonts w:ascii="Times New Roman" w:hAnsi="Times New Roman" w:eastAsia="宋体" w:cs="Times New Roman"/>
          <w:b w:val="0"/>
          <w:strike w:val="0"/>
          <w:color w:val="000000"/>
          <w:sz w:val="24"/>
          <w:u w:val="none"/>
        </w:rPr>
        <w:t>为进一步协调运动跟踪性能与系统约束，模型预测控制（Model Predictive Control，MPC）逐渐成为水下航行器运动控制领域的重要研究方向。MPC基于系统动力学模型预测有限时域内的状态演化，通过在线滚动优化确定控制输入，并将状态边界、输入幅值及控制变化率等约束纳入优化问题。张磊等[25]系统梳理了自主水下航行器模型预测控制的研究进展，分析了预测控制在多变量耦合系统运动控制中的应用特点。Heshmati-Alamdari等[26]针对受限工作空间中的自主水下航行器提出鲁棒模型预测控制方法，将环境约束与运动控制目标进行协调；随后，Heshmati-Alamdari等[27]进一步研究了不确定环境下欠驱动自主水下航行器的鲁棒非线性模型预测控制，通过有限时域优化与鲁棒反馈补偿相结合，处理轨迹跟踪、环境扰动及状态和输入约束问题。这些研究体现了预测控制在多约束、多变量耦合及复杂环境运动控制中的优势。按照预测模型与优化形式的不同，MPC主要包括基于局部线性化模型的线性MPC和基于完整非线性动力学的非线性MPC（Nonlinear Model Predictive Control，NMPC）。前者通常能够转化为结构较规则的优化问题，具有较低的在线求解复杂度，但其预测精度受到线性化工作点及模型近似误差的影响；后者能够更加充分地描述非线性动力学及状态耦合关系，同时对数值优化算法、初值选取和在线计算资源提出了更高要求。此外，预测时域长度、模型复杂度及鲁棒约束设计也会影响控制精度、可行域大小与计算时延之间的平衡。</w:t>
      </w:r>
    </w:p>
    <w:p w14:paraId="5CE00E21">
      <w:pPr>
        <w:pStyle w:val="10"/>
        <w:spacing w:before="0" w:after="0" w:line="360" w:lineRule="auto"/>
        <w:ind w:firstLine="480" w:firstLineChars="200"/>
      </w:pPr>
      <w:r>
        <w:rPr>
          <w:rFonts w:ascii="Times New Roman" w:hAnsi="Times New Roman" w:eastAsia="宋体" w:cs="Times New Roman"/>
          <w:b w:val="0"/>
          <w:strike w:val="0"/>
          <w:color w:val="000000"/>
          <w:sz w:val="24"/>
          <w:u w:val="none"/>
        </w:rPr>
        <w:t>在多推进器控制分配方面，执行机构的空间布局、推力方向及力臂共同决定了推进器配置矩阵的结构及其可实现的广义力范围。对于具有冗余推进器的水下航行器，当推进器配置矩阵满足相应秩条件时，多组推进器推力可能对应相同的期望合力与力矩，从而为推力优化分配提供自由度。传统控制分配通常采用矩阵逆、Moore–Penrose广义逆或加权广义逆方法，将上层控制器产生的期望广义力转换为推进器推力指令。此类方法数学形式明确、计算过程简洁，适用于推进器工作状态相对正常且控制指令处于可实现范围内的情况，但在存在推力幅值限制、正反向输出差异及推进器故障等条件下，可能出现推力饱和与广义力分配残差。针对上述问题，Johansen与Fossen[28]系统总结了控制分配理论及其优化方法，建立了面向冗余执行机构的控制分配研究框架。Bodson[29]比较了多种优化控制分配方法，Härkegård[30]研究了受约束线性二次控制分配问题的高效有效集求解算法，为实时受约束分配提供了计算方法基础。相较于解析广义逆分配，基于二次规划（Quadratic Programming，QP）的优化分配能够在目标函数中综合考虑期望广义力跟踪误差、推进器使用权重及控制能耗，并显式处理推力上下限和推力变化率等约束，在推进器冗余利用和约束协调方面具有更大的设计灵活性。</w:t>
      </w:r>
    </w:p>
    <w:p w14:paraId="6C64CA3B">
      <w:pPr>
        <w:pStyle w:val="10"/>
        <w:spacing w:before="0" w:after="0" w:line="360" w:lineRule="auto"/>
        <w:ind w:firstLine="480" w:firstLineChars="200"/>
      </w:pPr>
      <w:r>
        <w:rPr>
          <w:rFonts w:ascii="Times New Roman" w:hAnsi="Times New Roman" w:eastAsia="宋体" w:cs="Times New Roman"/>
          <w:b w:val="0"/>
          <w:strike w:val="0"/>
          <w:color w:val="000000"/>
          <w:sz w:val="24"/>
          <w:u w:val="none"/>
        </w:rPr>
        <w:t>国内针对水下机器人冗余推进器的优化分配及容错控制也开展了相应研究。程卫平等[31]提出基于可行方向法的水下机器人推力分配方法，研究了推进器约束条件下的推力优化求解问题；孙功武等[32]针对混合推进遥控水下航行器提出基于模糊逻辑的多级推力分配策略，利用分层协调机制改善不同推进方式之间的推力分配关系。Li等[33]面向具有推进器冗余的水下航行器动力定位任务，研究了基于运动控制误差的直接容错控制方法，通过分析推进器故障引起的运动误差变化实现故障识别与推力损失估计，并据此开展控制重构，拓展了冗余执行机构在故障条件下的控制能力。相关成果表明，多推进器控制分配正由单纯的广义力映射向兼顾输入约束、执行器效率、故障容错及实时求解性能的优化分配发展。</w:t>
      </w:r>
    </w:p>
    <w:p w14:paraId="55B803E3">
      <w:pPr>
        <w:pStyle w:val="10"/>
        <w:spacing w:before="0" w:after="0" w:line="360" w:lineRule="auto"/>
        <w:ind w:firstLine="480" w:firstLineChars="200"/>
      </w:pPr>
      <w:r>
        <w:rPr>
          <w:rFonts w:ascii="Times New Roman" w:hAnsi="Times New Roman" w:eastAsia="宋体" w:cs="Times New Roman"/>
          <w:b w:val="0"/>
          <w:strike w:val="0"/>
          <w:color w:val="000000"/>
          <w:sz w:val="24"/>
          <w:u w:val="none"/>
        </w:rPr>
        <w:t>从运动控制与控制分配的协同机制来看，现有研究主要形成了分层解耦优化与一体化协同优化两类技术路径。分层控制结构通常由上层运动控制器根据动力学模型计算期望广义力，再由下层控制分配器根据推进器配置矩阵和执行机构约束确定实际推力。该结构具有控制模块相对独立、算法替换方便及计算任务易于分配等特点，能够将MPC的运动预测优化与QP的推力优化分配相结合。在此基础上，通过引入推进器可实现广义力集合、分配残差反馈及执行器状态信息，可进一步提高上下层控制目标的一致性。一体化协同优化则将推进器推力直接作为预测控制的决策变量，把航行器动力学约束与推进器幅值、变化率及动态响应等约束统一纳入滚动优化过程，从而增强运动控制目标与执行机构实际输出之间的协调性，但优化变量维数、约束数量及数值求解复杂度也随之增加。两类方法分别体现了模块化实时控制与全局约束协调的技术优势。随着多推进器水下航行器对控制精度、抗扰能力和嵌入式实时性的要求不断提高，兼顾运动预测、推力可行性及在线求解效率的控制—分配协同优化，已成为受约束水下运动控制的重要研究方向。</w:t>
      </w:r>
    </w:p>
    <w:p w14:paraId="1C98710E">
      <w:pPr>
        <w:pStyle w:val="10"/>
        <w:spacing w:before="120" w:after="60" w:line="360" w:lineRule="auto"/>
        <w:ind w:firstLine="480" w:firstLineChars="200"/>
      </w:pPr>
      <w:r>
        <w:rPr>
          <w:rFonts w:ascii="Times New Roman" w:hAnsi="Times New Roman" w:eastAsia="黑体" w:cs="Times New Roman"/>
          <w:b/>
          <w:strike w:val="0"/>
          <w:color w:val="000000"/>
          <w:sz w:val="24"/>
          <w:u w:val="none"/>
        </w:rPr>
        <w:t>2.3 PX4开源飞控水下适配与闭环仿真验证现状</w:t>
      </w:r>
    </w:p>
    <w:p w14:paraId="33E14E5C">
      <w:pPr>
        <w:pStyle w:val="10"/>
        <w:spacing w:before="0" w:after="0" w:line="360" w:lineRule="auto"/>
        <w:ind w:firstLine="480" w:firstLineChars="200"/>
      </w:pPr>
      <w:r>
        <w:rPr>
          <w:rFonts w:ascii="Times New Roman" w:hAnsi="Times New Roman" w:eastAsia="宋体" w:cs="Times New Roman"/>
          <w:b w:val="0"/>
          <w:strike w:val="0"/>
          <w:color w:val="000000"/>
          <w:sz w:val="24"/>
          <w:u w:val="none"/>
        </w:rPr>
        <w:t>随着开源机器人软件和嵌入式控制平台的发展，水下航行器运动控制研究逐步由独立算法设计向控制软件集成与系统级闭环验证延伸。PX4作为具有模块化架构和开放接口的开源飞控平台，在传感器数据处理、状态估计、运动控制、执行机构管理及仿真测试等方面形成了较为完整的软件基础，为多推进器水下航行器的控制系统开发提供了平台条件。围绕PX4的相关研究主要涉及飞控模块化架构、控制分配机制、水下机型功能适配及软件在环仿真验证等方面。</w:t>
      </w:r>
    </w:p>
    <w:p w14:paraId="1C135E28">
      <w:pPr>
        <w:pStyle w:val="10"/>
        <w:spacing w:before="0" w:after="0" w:line="360" w:lineRule="auto"/>
        <w:ind w:firstLine="480" w:firstLineChars="200"/>
      </w:pPr>
      <w:r>
        <w:rPr>
          <w:rFonts w:ascii="Times New Roman" w:hAnsi="Times New Roman" w:eastAsia="宋体" w:cs="Times New Roman"/>
          <w:b w:val="0"/>
          <w:strike w:val="0"/>
          <w:color w:val="000000"/>
          <w:sz w:val="24"/>
          <w:u w:val="none"/>
        </w:rPr>
        <w:t>在飞控软件架构方面，Meier等[34]提出面向深度嵌入式平台的PX4开源机器人软件框架，采用模块化、多线程的软件设计思想，为复杂机器人控制任务的模块划分与实时执行提供了基础。PX4通过uORB发布—订阅消息机制实现不同软件模块之间的数据交换，将状态估计、控制器、控制分配与底层执行器输出组织为相互衔接的控制链路。在多执行机构控制方面，PX4引入Control Allocator控制分配模块，将上层控制器输出的期望推力与力矩转换为具体执行器指令，并依据机型几何配置参数完成推进器及其他执行机构的映射。根据PX4官方控制分配文档[35]，Control Allocator支持基于机型配置的执行器混控、控制输出发布及电机故障处理等功能，形成了相对独立的控制分配软件层。该架构使运动控制算法与具体推进器几何布局之间保持模块化关系，为不同构型的执行器配置及控制模块扩展提供了软件基础。同时，通用控制分配模块的标准功能主要围绕执行器几何映射、基础混控和输出管理展开，而带有显式多维推力约束及优化目标的高级控制分配方法仍具有进一步扩展的空间。</w:t>
      </w:r>
    </w:p>
    <w:p w14:paraId="3AC5A517">
      <w:pPr>
        <w:pStyle w:val="10"/>
        <w:spacing w:before="0" w:after="0" w:line="360" w:lineRule="auto"/>
        <w:ind w:firstLine="480" w:firstLineChars="200"/>
      </w:pPr>
      <w:r>
        <w:rPr>
          <w:rFonts w:ascii="Times New Roman" w:hAnsi="Times New Roman" w:eastAsia="宋体" w:cs="Times New Roman"/>
          <w:b w:val="0"/>
          <w:strike w:val="0"/>
          <w:color w:val="000000"/>
          <w:sz w:val="24"/>
          <w:u w:val="none"/>
        </w:rPr>
        <w:t>在PX4水下航行器适配方面，官方文档已提供无人水下航行器（Unmanned Underwater Vehicle，UUV）的基础机型支持，但整体仍被标注为实验性功能[4]。其中，BlueROV2 Heavy采用空间矢量布局的八推进器构型，具有多方向平移与姿态调节的执行机构基础。PX4官方BlueROV2机型文档[36]列出了Manual、Stabilized、Acro、Altitude及Position等控制模式。Manual模式主要面向直接操纵，Stabilized和Acro模式提供相应的姿态稳定与角速度控制功能；Altitude模式引入基于PID的高度控制，Position模式可实现位置及艏向保持，并维持横滚与俯仰姿态稳定。这表明PX4在水下航行器基础操纵、姿态自稳和位置保持方面已具备一定的软件实现基础，其控制功能主要面向常规操纵和基础反馈控制任务。对于多自由度耦合动力学、执行器受约束条件下的轨迹优化及冗余推进器优化分配，现有官方水下机型标准控制链仍以基础控制与常规混控为主，原生非线性模型预测控制及面向多推进器的QP优化分配尚未成为通用的UUV标准功能。</w:t>
      </w:r>
    </w:p>
    <w:p w14:paraId="4702EA69">
      <w:pPr>
        <w:pStyle w:val="10"/>
        <w:spacing w:before="0" w:after="0" w:line="360" w:lineRule="auto"/>
        <w:ind w:firstLine="480" w:firstLineChars="200"/>
      </w:pPr>
      <w:r>
        <w:rPr>
          <w:rFonts w:ascii="Times New Roman" w:hAnsi="Times New Roman" w:eastAsia="宋体" w:cs="Times New Roman"/>
          <w:b w:val="0"/>
          <w:strike w:val="0"/>
          <w:color w:val="000000"/>
          <w:sz w:val="24"/>
          <w:u w:val="none"/>
        </w:rPr>
        <w:t>在研究型控制器的软件接入方面，PX4提供Offboard外部控制模式，可通过MAVLink或ROS 2等通信机制接收外部计算单元生成的运动控制设定值[37]。该接口支持位置、速度、加速度、姿态、角速度及推力与力矩等不同层级的控制指令，为外部优化控制器与飞控系统之间的数据交互提供了技术途径。与直接在飞控固件内部实现控制算法的方式相比，Offboard模式能够利用外部计算平台的计算资源，便于集成复杂动力学模型及在线优化算法；固件内部集成则具有控制链路较短、模块间数据交换直接等特点，适合对控制周期和通信时延具有较高要求的嵌入式控制任务。不同接入方式在计算资源分配、状态信息获取、设定值接口及失联保护机制方面具有各自的工程特点。尤其对于水下航行器，运动控制还受到水下定位信息可获得性、机体系与惯性系坐标变换、推进器控制指令格式及飞控任务调度时序等因素的影响。因此，如何在既有飞控模块化架构中实现高阶优化控制算法与状态估计、控制分配及底层执行器之间的稳定衔接，构成了开源飞控水下适配研究的重要内容。</w:t>
      </w:r>
    </w:p>
    <w:p w14:paraId="4492AF82">
      <w:pPr>
        <w:pStyle w:val="10"/>
        <w:spacing w:before="0" w:after="0" w:line="360" w:lineRule="auto"/>
        <w:ind w:firstLine="480" w:firstLineChars="200"/>
      </w:pPr>
      <w:r>
        <w:rPr>
          <w:rFonts w:ascii="Times New Roman" w:hAnsi="Times New Roman" w:eastAsia="宋体" w:cs="Times New Roman"/>
          <w:b w:val="0"/>
          <w:strike w:val="0"/>
          <w:color w:val="000000"/>
          <w:sz w:val="24"/>
          <w:u w:val="none"/>
        </w:rPr>
        <w:t>在仿真验证方面，水下航行器控制算法的研究经历了由纯数值动力学仿真向包含控制软件、传感器及执行机构的系统级闭环仿真发展的过程。传统离线数值仿真通常采用MATLAB/Simulink等工具建立航行器动力学模型，并将控制器与模型进行闭环连接，能够在较为明确的动力学假设下分析系统稳定性、轨迹跟踪误差及控制输入变化。von Benzon等[10]构建的BlueROV2开源基准仿真模型即采用此类技术路线，将六自由度运动学、水动力、推进器动态、浮重力、水流及系缆作用等因素纳入统一仿真框架，并利用实验数据开展部分模型校验，为不同水下运动控制算法提供了具有代表性的数值仿真基准。该类仿真方法具有动力学模型透明、参数调整灵活和控制算法比较方便等优势，适用于控制理论分析、模型参数研究及算法开发初期的性能评估。</w:t>
      </w:r>
    </w:p>
    <w:p w14:paraId="07CAE52C">
      <w:pPr>
        <w:pStyle w:val="10"/>
        <w:spacing w:before="0" w:after="0" w:line="360" w:lineRule="auto"/>
        <w:ind w:firstLine="480" w:firstLineChars="200"/>
      </w:pPr>
      <w:r>
        <w:rPr>
          <w:rFonts w:ascii="Times New Roman" w:hAnsi="Times New Roman" w:eastAsia="宋体" w:cs="Times New Roman"/>
          <w:b w:val="0"/>
          <w:strike w:val="0"/>
          <w:color w:val="000000"/>
          <w:sz w:val="24"/>
          <w:u w:val="none"/>
        </w:rPr>
        <w:t>随着开源仿真工具及飞控接口技术的发展，软件在环仿真（Software-in-the-Loop，SITL）逐渐成为机器人控制算法系统级验证的重要手段。与离线数值仿真相比，SITL将实际飞控软件纳入闭环运行过程，使仿真环境中的动力学模型、传感器输出、飞控状态估计、运动控制器及执行器指令形成完整的数据交互链路。PX4支持与Gazebo等仿真环境进行数据交互，由物理仿真环境计算航行器运动状态并生成传感器数据，再通过相关通信接口传递给飞控软件；飞控计算得到的执行器指令则反馈至仿真模型，形成控制闭环。该验证方式能够在动力学性能分析之外，进一步考察控制模块运行时序、通信延迟、数据更新频率及执行器指令映射等软件集成因素，为复杂控制算法的飞控适配提供更接近工程运行条件的测试环境。</w:t>
      </w:r>
    </w:p>
    <w:p w14:paraId="0BEFCD8F">
      <w:pPr>
        <w:pStyle w:val="10"/>
        <w:spacing w:before="0" w:after="0" w:line="360" w:lineRule="auto"/>
        <w:ind w:firstLine="480" w:firstLineChars="200"/>
      </w:pPr>
      <w:r>
        <w:rPr>
          <w:rFonts w:ascii="Times New Roman" w:hAnsi="Times New Roman" w:eastAsia="宋体" w:cs="Times New Roman"/>
          <w:b w:val="0"/>
          <w:strike w:val="0"/>
          <w:color w:val="000000"/>
          <w:sz w:val="24"/>
          <w:u w:val="none"/>
        </w:rPr>
        <w:t>针对水下航行器的SITL研究，仿真模型通常还涉及附加质量、非线性水动力阻尼、浮重力恢复作用及推进器动态等水下特有动力学因素。仿真精度受到水动力参数、推进器推力特性、环境扰动模型与传感器测量模型的共同影响，而闭环控制性能还与状态估计、控制算法求解周期、分配输出及软件通信时序密切相关。对于包含在线优化求解的控制系统，模型预测精度、轨迹跟踪误差、执行器约束满足情况、优化求解耗时及控制周期稳定性共同构成系统级性能评价的重要内容。由此可见，水下运动控制的仿真验证正由以运动响应为核心的独立模型测试，逐步向涵盖动力学模型、优化控制器、控制分配和飞控软件运行机制的多层级闭环验证发展。</w:t>
      </w:r>
    </w:p>
    <w:p w14:paraId="2D5BED64">
      <w:pPr>
        <w:pStyle w:val="10"/>
        <w:spacing w:before="0" w:after="0" w:line="360" w:lineRule="auto"/>
        <w:ind w:firstLine="480" w:firstLineChars="200"/>
      </w:pPr>
      <w:r>
        <w:rPr>
          <w:rFonts w:ascii="Times New Roman" w:hAnsi="Times New Roman" w:eastAsia="宋体" w:cs="Times New Roman"/>
          <w:b w:val="0"/>
          <w:strike w:val="0"/>
          <w:color w:val="000000"/>
          <w:sz w:val="24"/>
          <w:u w:val="none"/>
        </w:rPr>
        <w:t>综上，相关研究呈现机理—数据融合建模、控制—分配协同优化和算法—飞控在环闭环验证三大发展趋势。面向多推进器全向航行器，模型预测精度与嵌入式算力的制约、推力饱和与分配残差的耦合影响，以及飞控接口时序的一致性，构成跨层集成瓶颈。现有成果奠定了水动力辨识、受约束控制和平台适配的基础，跨层协同仍有拓展空间。本课题以建模、控制、分配及PX4闭环适配的贯通为切入点，为提高复杂工况下多自由度运动控制性能及开源飞控工程适用性提供研究支撑。</w:t>
      </w:r>
    </w:p>
    <w:permEnd w:id="10"/>
    <w:p w14:paraId="6385DA06">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二、</w:t>
      </w:r>
      <w:permStart w:id="11" w:edGrp="everyone"/>
      <w:r>
        <w:rPr>
          <w:rFonts w:hint="eastAsia" w:ascii="Times New Roman" w:hAnsi="Times New Roman" w:eastAsia="黑体" w:cs="Times New Roman"/>
          <w:b w:val="0"/>
          <w:sz w:val="28"/>
        </w:rPr>
        <w:t>毕业论文</w:t>
      </w:r>
      <w:permEnd w:id="11"/>
      <w:r>
        <w:rPr>
          <w:rFonts w:hint="eastAsia" w:ascii="Times New Roman" w:hAnsi="Times New Roman" w:eastAsia="黑体" w:cs="Times New Roman"/>
          <w:b w:val="0"/>
          <w:sz w:val="28"/>
        </w:rPr>
        <w:t>方案介绍</w:t>
      </w:r>
    </w:p>
    <w:p w14:paraId="2109F3BF">
      <w:pPr>
        <w:pStyle w:val="9"/>
        <w:spacing w:before="120" w:beforeLines="50" w:after="120" w:afterLines="50" w:line="360" w:lineRule="auto"/>
        <w:ind w:firstLine="0" w:firstLineChars="0"/>
        <w:rPr>
          <w:rFonts w:ascii="黑体" w:hAnsi="黑体"/>
          <w:sz w:val="24"/>
        </w:rPr>
      </w:pPr>
      <w:permStart w:id="12"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主要研究内容</w:t>
      </w:r>
    </w:p>
    <w:p w14:paraId="1623E866">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 w14:paraId="315FC749">
      <w:pPr>
        <w:pStyle w:val="9"/>
        <w:spacing w:before="120" w:beforeLines="50" w:after="120" w:afterLines="50" w:line="360" w:lineRule="auto"/>
        <w:ind w:firstLine="0" w:firstLineChars="0"/>
        <w:rPr>
          <w:rFonts w:ascii="黑体" w:hAnsi="黑体"/>
          <w:sz w:val="24"/>
        </w:rPr>
      </w:pPr>
      <w:r>
        <w:rPr>
          <w:rFonts w:hint="eastAsia" w:ascii="Times New Roman" w:hAnsi="Times New Roman" w:eastAsia="黑体" w:cs="Times New Roman"/>
          <w:b w:val="0"/>
          <w:sz w:val="24"/>
        </w:rPr>
        <w:t>2</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研究方案</w:t>
      </w:r>
    </w:p>
    <w:p w14:paraId="3A2A67D5">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 w14:paraId="6D664144">
      <w:pPr>
        <w:pStyle w:val="9"/>
        <w:spacing w:before="120" w:beforeLines="50" w:after="120" w:afterLines="50" w:line="360" w:lineRule="auto"/>
        <w:ind w:firstLine="0" w:firstLineChars="0"/>
        <w:rPr>
          <w:rFonts w:hint="eastAsia" w:ascii="黑体" w:hAnsi="黑体"/>
          <w:sz w:val="24"/>
        </w:rPr>
      </w:pPr>
      <w:r>
        <w:rPr>
          <w:rFonts w:hint="eastAsia" w:ascii="Times New Roman" w:hAnsi="Times New Roman" w:eastAsia="黑体" w:cs="Times New Roman"/>
          <w:b w:val="0"/>
          <w:sz w:val="24"/>
        </w:rPr>
        <w:t>3</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工作</w:t>
      </w:r>
      <w:r>
        <w:rPr>
          <w:rFonts w:ascii="Times New Roman" w:hAnsi="Times New Roman" w:eastAsia="黑体" w:cs="Times New Roman"/>
          <w:b w:val="0"/>
          <w:sz w:val="24"/>
        </w:rPr>
        <w:t>进度安排</w:t>
      </w:r>
    </w:p>
    <w:p w14:paraId="6390AB4A">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ermEnd w:id="12"/>
    <w:p w14:paraId="41E5FE5D">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三、</w:t>
      </w:r>
      <w:permStart w:id="13" w:edGrp="everyone"/>
      <w:r>
        <w:rPr>
          <w:rFonts w:hint="eastAsia" w:ascii="Times New Roman" w:hAnsi="Times New Roman" w:eastAsia="黑体" w:cs="Times New Roman"/>
          <w:b w:val="0"/>
          <w:sz w:val="28"/>
        </w:rPr>
        <w:t>毕业论文</w:t>
      </w:r>
      <w:permEnd w:id="13"/>
      <w:r>
        <w:rPr>
          <w:rFonts w:hint="eastAsia" w:ascii="Times New Roman" w:hAnsi="Times New Roman" w:eastAsia="黑体" w:cs="Times New Roman"/>
          <w:b w:val="0"/>
          <w:sz w:val="28"/>
        </w:rPr>
        <w:t>的主要参考文献</w:t>
      </w:r>
    </w:p>
    <w:p w14:paraId="2F5BFBEB">
      <w:pPr>
        <w:pStyle w:val="11"/>
        <w:spacing w:before="0" w:beforeLines="0" w:after="0" w:afterLines="0" w:line="360" w:lineRule="auto"/>
        <w:ind w:left="420" w:hanging="420"/>
        <w:rPr>
          <w:rFonts w:ascii="宋体" w:hAnsi="宋体"/>
        </w:rPr>
      </w:pPr>
      <w:permStart w:id="14" w:edGrp="everyone"/>
      <w:r>
        <w:rPr>
          <w:rFonts w:ascii="Times New Roman" w:hAnsi="Times New Roman" w:eastAsia="宋体" w:cs="Times New Roman"/>
          <w:b w:val="0"/>
          <w:sz w:val="24"/>
        </w:rPr>
        <w:t>[1] 工业和信息化部, 国家发展和改革委员会, 科学技术部, 等. “十四五”机器人产业发展规划[J]. 中华人民共和国工业和信息化部公报, 2021(12): 20-27.</w:t>
      </w:r>
    </w:p>
    <w:p w14:paraId="761C4D0F">
      <w:pPr>
        <w:pStyle w:val="11"/>
        <w:spacing w:before="0" w:beforeLines="0" w:after="0" w:afterLines="0" w:line="360" w:lineRule="auto"/>
        <w:ind w:left="420" w:hanging="420"/>
      </w:pPr>
      <w:r>
        <w:rPr>
          <w:rFonts w:ascii="Times New Roman" w:hAnsi="Times New Roman" w:eastAsia="宋体" w:cs="Times New Roman"/>
          <w:b w:val="0"/>
          <w:sz w:val="24"/>
        </w:rPr>
        <w:t>[2] 工业和信息化部, 教育部, 科学技术部, 等. “机器人+”应用行动实施方案[J]. 中华人民共和国工业和信息化部公报, 2023(1): 18-24.</w:t>
      </w:r>
    </w:p>
    <w:p w14:paraId="30B13CA2">
      <w:pPr>
        <w:pStyle w:val="11"/>
        <w:spacing w:before="0" w:beforeLines="0" w:after="0" w:afterLines="0" w:line="360" w:lineRule="auto"/>
        <w:ind w:left="420" w:hanging="420"/>
      </w:pPr>
      <w:r>
        <w:rPr>
          <w:rFonts w:ascii="Times New Roman" w:hAnsi="Times New Roman" w:eastAsia="宋体" w:cs="Times New Roman"/>
          <w:b w:val="0"/>
          <w:sz w:val="24"/>
        </w:rPr>
        <w:t>[3] FOSSEN T I. Handbook of Marine Craft Hydrodynamics and Motion Control[M]. 2nd ed. Chichester, UK: John Wiley &amp; Sons, 2021.</w:t>
      </w:r>
    </w:p>
    <w:p w14:paraId="135E749E">
      <w:pPr>
        <w:pStyle w:val="11"/>
        <w:spacing w:before="0" w:beforeLines="0" w:after="0" w:afterLines="0" w:line="360" w:lineRule="auto"/>
        <w:ind w:left="420" w:hanging="420"/>
      </w:pPr>
      <w:r>
        <w:rPr>
          <w:rFonts w:ascii="Times New Roman" w:hAnsi="Times New Roman" w:eastAsia="宋体" w:cs="Times New Roman"/>
          <w:b w:val="0"/>
          <w:sz w:val="24"/>
        </w:rPr>
        <w:t>[4] PX4 Development Team. Submarines (Unmanned Underwater Vehicles—UUV)[EB/OL]. (2024)[2026-10-10]. https://docs.px4.io/main/en/frames_sub/index.</w:t>
      </w:r>
    </w:p>
    <w:p w14:paraId="4753A116">
      <w:pPr>
        <w:pStyle w:val="11"/>
        <w:spacing w:before="0" w:beforeLines="0" w:after="0" w:afterLines="0" w:line="360" w:lineRule="auto"/>
        <w:ind w:left="420" w:hanging="420"/>
      </w:pPr>
      <w:r>
        <w:rPr>
          <w:rFonts w:ascii="Times New Roman" w:hAnsi="Times New Roman" w:eastAsia="宋体" w:cs="Times New Roman"/>
          <w:b w:val="0"/>
          <w:sz w:val="24"/>
        </w:rPr>
        <w:t>[5] FOSSEN T I. Nonlinear modelling of marine vehicles in 6 degrees of freedom[J]. Mathematical Modelling of Systems, 1995, 1(1): 17-27.</w:t>
      </w:r>
    </w:p>
    <w:p w14:paraId="015493A9">
      <w:pPr>
        <w:pStyle w:val="11"/>
        <w:spacing w:before="0" w:beforeLines="0" w:after="0" w:afterLines="0" w:line="360" w:lineRule="auto"/>
        <w:ind w:left="420" w:hanging="420"/>
      </w:pPr>
      <w:r>
        <w:rPr>
          <w:rFonts w:ascii="Times New Roman" w:hAnsi="Times New Roman" w:eastAsia="宋体" w:cs="Times New Roman"/>
          <w:b w:val="0"/>
          <w:sz w:val="24"/>
        </w:rPr>
        <w:t>[6] 严卫生, 高剑, 崔荣鑫, 等. 水下航行器控制技术[M]. 北京: 国防工业出版社, 2020.</w:t>
      </w:r>
    </w:p>
    <w:p w14:paraId="337973F4">
      <w:pPr>
        <w:pStyle w:val="11"/>
        <w:spacing w:before="0" w:beforeLines="0" w:after="0" w:afterLines="0" w:line="360" w:lineRule="auto"/>
        <w:ind w:left="420" w:hanging="420"/>
      </w:pPr>
      <w:r>
        <w:rPr>
          <w:rFonts w:ascii="Times New Roman" w:hAnsi="Times New Roman" w:eastAsia="宋体" w:cs="Times New Roman"/>
          <w:b w:val="0"/>
          <w:sz w:val="24"/>
        </w:rPr>
        <w:t>[7] PRESTERO T. Verification of a six-degree of freedom simulation model for the REMUS autonomous underwater vehicle[D]. Cambridge, MA: Massachusetts Institute of Technology, 2001.</w:t>
      </w:r>
    </w:p>
    <w:p w14:paraId="6944413E">
      <w:pPr>
        <w:pStyle w:val="11"/>
        <w:spacing w:before="0" w:beforeLines="0" w:after="0" w:afterLines="0" w:line="360" w:lineRule="auto"/>
        <w:ind w:left="420" w:hanging="420"/>
      </w:pPr>
      <w:r>
        <w:rPr>
          <w:rFonts w:ascii="Times New Roman" w:hAnsi="Times New Roman" w:eastAsia="宋体" w:cs="Times New Roman"/>
          <w:b w:val="0"/>
          <w:sz w:val="24"/>
        </w:rPr>
        <w:t>[8] CACCIA M, INDIVERI G, VERUGGIO G. Modeling and identification of open-frame variable configuration unmanned underwater vehicles[J]. IEEE Journal of Oceanic Engineering, 2000, 25(2): 227-240.</w:t>
      </w:r>
    </w:p>
    <w:p w14:paraId="75635D39">
      <w:pPr>
        <w:pStyle w:val="11"/>
        <w:spacing w:before="0" w:beforeLines="0" w:after="0" w:afterLines="0" w:line="360" w:lineRule="auto"/>
        <w:ind w:left="420" w:hanging="420"/>
      </w:pPr>
      <w:r>
        <w:rPr>
          <w:rFonts w:ascii="Times New Roman" w:hAnsi="Times New Roman" w:eastAsia="宋体" w:cs="Times New Roman"/>
          <w:b w:val="0"/>
          <w:sz w:val="24"/>
        </w:rPr>
        <w:t>[9] SMALLWOOD D A, WHITCOMB L L. Model-based dynamic positioning of underwater robotic vehicles: Theory and experiment[J]. IEEE Journal of Oceanic Engineering, 2004, 29(1): 169-186.</w:t>
      </w:r>
    </w:p>
    <w:p w14:paraId="5829B444">
      <w:pPr>
        <w:pStyle w:val="11"/>
        <w:spacing w:before="0" w:beforeLines="0" w:after="0" w:afterLines="0" w:line="360" w:lineRule="auto"/>
        <w:ind w:left="420" w:hanging="420"/>
      </w:pPr>
      <w:r>
        <w:rPr>
          <w:rFonts w:ascii="Times New Roman" w:hAnsi="Times New Roman" w:eastAsia="宋体" w:cs="Times New Roman"/>
          <w:b w:val="0"/>
          <w:sz w:val="24"/>
        </w:rPr>
        <w:t>[10] VON BENZON M, SØRENSEN F F, UTH E, et al. An open-source benchmark simulator: Control of a BlueROV2 underwater robot[J]. Journal of Marine Science and Engineering, 2022, 10(12): 1898.</w:t>
      </w:r>
    </w:p>
    <w:p w14:paraId="620C46B1">
      <w:pPr>
        <w:pStyle w:val="11"/>
        <w:spacing w:before="0" w:beforeLines="0" w:after="0" w:afterLines="0" w:line="360" w:lineRule="auto"/>
        <w:ind w:left="420" w:hanging="420"/>
      </w:pPr>
      <w:r>
        <w:rPr>
          <w:rFonts w:ascii="Times New Roman" w:hAnsi="Times New Roman" w:eastAsia="宋体" w:cs="Times New Roman"/>
          <w:b w:val="0"/>
          <w:sz w:val="24"/>
        </w:rPr>
        <w:t>[11] 高婷, 庞永杰, 王亚兴, 等. 水下航行器水动力系数计算方法[J]. 哈尔滨工程大学学报, 2019, 40(1): 174-180.</w:t>
      </w:r>
    </w:p>
    <w:p w14:paraId="4FA6E997">
      <w:pPr>
        <w:pStyle w:val="11"/>
        <w:spacing w:before="0" w:beforeLines="0" w:after="0" w:afterLines="0" w:line="360" w:lineRule="auto"/>
        <w:ind w:left="420" w:hanging="420"/>
      </w:pPr>
      <w:r>
        <w:rPr>
          <w:rFonts w:ascii="Times New Roman" w:hAnsi="Times New Roman" w:eastAsia="宋体" w:cs="Times New Roman"/>
          <w:b w:val="0"/>
          <w:sz w:val="24"/>
        </w:rPr>
        <w:t>[12] CHIN C S, LAU M W S. Modeling and testing of hydrodynamic damping for a complex-shaped underwater robot operating at low speed[C]//2012 Oceans - Yeosu. Yeosu, Korea: IEEE, 2012: 1-7.</w:t>
      </w:r>
    </w:p>
    <w:p w14:paraId="24749E0D">
      <w:pPr>
        <w:pStyle w:val="11"/>
        <w:spacing w:before="0" w:beforeLines="0" w:after="0" w:afterLines="0" w:line="360" w:lineRule="auto"/>
        <w:ind w:left="420" w:hanging="420"/>
      </w:pPr>
      <w:r>
        <w:rPr>
          <w:rFonts w:ascii="Times New Roman" w:hAnsi="Times New Roman" w:eastAsia="宋体" w:cs="Times New Roman"/>
          <w:b w:val="0"/>
          <w:sz w:val="24"/>
        </w:rPr>
        <w:t>[13] ROSS A, FOSSEN T I, JOHANSEN T A. Identification of underwater vehicle hydrodynamic coefficients using free decay tests[C]//IFAC Conference on Control Applications in Marine Systems. Ancona, Italy: IFAC, 2004: 363-368.</w:t>
      </w:r>
    </w:p>
    <w:p w14:paraId="456CDD6B">
      <w:pPr>
        <w:pStyle w:val="11"/>
        <w:spacing w:before="0" w:beforeLines="0" w:after="0" w:afterLines="0" w:line="360" w:lineRule="auto"/>
        <w:ind w:left="420" w:hanging="420"/>
      </w:pPr>
      <w:r>
        <w:rPr>
          <w:rFonts w:ascii="Times New Roman" w:hAnsi="Times New Roman" w:eastAsia="宋体" w:cs="Times New Roman"/>
          <w:b w:val="0"/>
          <w:sz w:val="24"/>
        </w:rPr>
        <w:t>[14] AVILA J P J, ADAMOWSKI J C. Experimental model identification of open-frame unmanned underwater vehicles[C]//2013 Oceans - San Diego. San Diego, CA: IEEE, 2013: 1-7.</w:t>
      </w:r>
    </w:p>
    <w:p w14:paraId="6549D34A">
      <w:pPr>
        <w:pStyle w:val="11"/>
        <w:spacing w:before="0" w:beforeLines="0" w:after="0" w:afterLines="0" w:line="360" w:lineRule="auto"/>
        <w:ind w:left="420" w:hanging="420"/>
      </w:pPr>
      <w:r>
        <w:rPr>
          <w:rFonts w:ascii="Times New Roman" w:hAnsi="Times New Roman" w:eastAsia="宋体" w:cs="Times New Roman"/>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14:paraId="2CCCC2A2">
      <w:pPr>
        <w:pStyle w:val="11"/>
        <w:spacing w:before="0" w:beforeLines="0" w:after="0" w:afterLines="0" w:line="360" w:lineRule="auto"/>
        <w:ind w:left="420" w:hanging="420"/>
      </w:pPr>
      <w:r>
        <w:rPr>
          <w:rFonts w:ascii="Times New Roman" w:hAnsi="Times New Roman" w:eastAsia="宋体" w:cs="Times New Roman"/>
          <w:b w:val="0"/>
          <w:sz w:val="24"/>
        </w:rPr>
        <w:t>[16] BRUNTON S L, PROCTOR J L, KUTZ J N. Discovering governing equations from data by sparse identification of nonlinear dynamical systems[J]. Proceedings of the National Academy of Sciences, 2016, 113(15): 3932-3937.</w:t>
      </w:r>
    </w:p>
    <w:p w14:paraId="53856263">
      <w:pPr>
        <w:pStyle w:val="11"/>
        <w:spacing w:before="0" w:beforeLines="0" w:after="0" w:afterLines="0" w:line="360" w:lineRule="auto"/>
        <w:ind w:left="420" w:hanging="420"/>
      </w:pPr>
      <w:r>
        <w:rPr>
          <w:rFonts w:ascii="Times New Roman" w:hAnsi="Times New Roman" w:eastAsia="宋体" w:cs="Times New Roman"/>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14:paraId="3270987F">
      <w:pPr>
        <w:pStyle w:val="11"/>
        <w:spacing w:before="0" w:beforeLines="0" w:after="0" w:afterLines="0" w:line="360" w:lineRule="auto"/>
        <w:ind w:left="420" w:hanging="420"/>
      </w:pPr>
      <w:r>
        <w:rPr>
          <w:rFonts w:ascii="Times New Roman" w:hAnsi="Times New Roman" w:eastAsia="宋体" w:cs="Times New Roman"/>
          <w:b w:val="0"/>
          <w:sz w:val="24"/>
        </w:rPr>
        <w:t>[18] CHEN R T Q, RUBANOVA Y, BETTENCOURT J, et al. Neural ordinary differential equations[C]//Advances in Neural Information Processing Systems (NeurIPS 2018). Montréal, QC, Canada, 2018: 6571-6583.</w:t>
      </w:r>
    </w:p>
    <w:p w14:paraId="62ED250A">
      <w:pPr>
        <w:pStyle w:val="11"/>
        <w:spacing w:before="0" w:beforeLines="0" w:after="0" w:afterLines="0" w:line="360" w:lineRule="auto"/>
        <w:ind w:left="420" w:hanging="420"/>
      </w:pPr>
      <w:r>
        <w:rPr>
          <w:rFonts w:ascii="Times New Roman" w:hAnsi="Times New Roman" w:eastAsia="宋体" w:cs="Times New Roman"/>
          <w:b w:val="0"/>
          <w:sz w:val="24"/>
        </w:rPr>
        <w:t>[19] LIU A, ZHANG X, XIAO F, et al. Koopman-based online identification with Sim2Real transfer for hydrodynamic modeling of turtle-inspired robot[J]. IEEE Robotics and Automation Letters, 2026, 11(6): 6632-6639.</w:t>
      </w:r>
    </w:p>
    <w:p w14:paraId="3376E46A">
      <w:pPr>
        <w:pStyle w:val="11"/>
        <w:spacing w:before="0" w:beforeLines="0" w:after="0" w:afterLines="0" w:line="360" w:lineRule="auto"/>
        <w:ind w:left="420" w:hanging="420"/>
      </w:pPr>
      <w:r>
        <w:rPr>
          <w:rFonts w:ascii="Times New Roman" w:hAnsi="Times New Roman" w:eastAsia="宋体" w:cs="Times New Roman"/>
          <w:b w:val="0"/>
          <w:sz w:val="24"/>
        </w:rPr>
        <w:t>[20] YUH J. Design and control of autonomous underwater robots: A survey[J]. Autonomous Robots, 2000, 8(1): 7-24.</w:t>
      </w:r>
    </w:p>
    <w:p w14:paraId="6E75F3AD">
      <w:pPr>
        <w:pStyle w:val="11"/>
        <w:spacing w:before="0" w:beforeLines="0" w:after="0" w:afterLines="0" w:line="360" w:lineRule="auto"/>
        <w:ind w:left="420" w:hanging="420"/>
      </w:pPr>
      <w:r>
        <w:rPr>
          <w:rFonts w:ascii="Times New Roman" w:hAnsi="Times New Roman" w:eastAsia="宋体" w:cs="Times New Roman"/>
          <w:b w:val="0"/>
          <w:sz w:val="24"/>
        </w:rPr>
        <w:t>[21] 朱大奇, 孙兵. 水下机器人运动控制研究进展[J]. 控制与决策, 2012, 27(3): 321-333.</w:t>
      </w:r>
    </w:p>
    <w:p w14:paraId="276CE4BE">
      <w:pPr>
        <w:pStyle w:val="11"/>
        <w:spacing w:before="0" w:beforeLines="0" w:after="0" w:afterLines="0" w:line="360" w:lineRule="auto"/>
        <w:ind w:left="420" w:hanging="420"/>
      </w:pPr>
      <w:r>
        <w:rPr>
          <w:rFonts w:ascii="Times New Roman" w:hAnsi="Times New Roman" w:eastAsia="宋体" w:cs="Times New Roman"/>
          <w:b w:val="0"/>
          <w:sz w:val="24"/>
        </w:rPr>
        <w:t>[22] YOERGER D R, SLOTINE J J E. Robust trajectory control of underwater vehicles[J]. IEEE Journal of Oceanic Engineering, 1985, 10(4): 462-470.</w:t>
      </w:r>
    </w:p>
    <w:p w14:paraId="6D54E73A">
      <w:pPr>
        <w:pStyle w:val="11"/>
        <w:spacing w:before="0" w:beforeLines="0" w:after="0" w:afterLines="0" w:line="360" w:lineRule="auto"/>
        <w:ind w:left="420" w:hanging="420"/>
      </w:pPr>
      <w:r>
        <w:rPr>
          <w:rFonts w:ascii="Times New Roman" w:hAnsi="Times New Roman" w:eastAsia="宋体" w:cs="Times New Roman"/>
          <w:b w:val="0"/>
          <w:sz w:val="24"/>
        </w:rPr>
        <w:t>[23] HEALEY A J, LIENARD D. Multivariable sliding mode control for autonomous diving and steering of unmanned underwater vehicles[J]. IEEE Journal of Oceanic Engineering, 1993, 18(3): 327-339.</w:t>
      </w:r>
    </w:p>
    <w:p w14:paraId="3655EAA4">
      <w:pPr>
        <w:pStyle w:val="11"/>
        <w:spacing w:before="0" w:beforeLines="0" w:after="0" w:afterLines="0" w:line="360" w:lineRule="auto"/>
        <w:ind w:left="420" w:hanging="420"/>
      </w:pPr>
      <w:r>
        <w:rPr>
          <w:rFonts w:ascii="Times New Roman" w:hAnsi="Times New Roman" w:eastAsia="宋体" w:cs="Times New Roman"/>
          <w:b w:val="0"/>
          <w:sz w:val="24"/>
        </w:rPr>
        <w:t>[24] CHU Z, XIANG X, ZHU D, et al. Adaptive trajectory tracking control for remotely operated vehicles considering thruster dynamics and saturation constraints[J]. ISA Transactions, 2020, 100: 28-37.</w:t>
      </w:r>
    </w:p>
    <w:p w14:paraId="24960342">
      <w:pPr>
        <w:pStyle w:val="11"/>
        <w:spacing w:before="0" w:beforeLines="0" w:after="0" w:afterLines="0" w:line="360" w:lineRule="auto"/>
        <w:ind w:left="420" w:hanging="420"/>
      </w:pPr>
      <w:r>
        <w:rPr>
          <w:rFonts w:ascii="Times New Roman" w:hAnsi="Times New Roman" w:eastAsia="宋体" w:cs="Times New Roman"/>
          <w:b w:val="0"/>
          <w:sz w:val="24"/>
        </w:rPr>
        <w:t>[25] 张磊, 严卫生, 付明玉. 自主水下航行器模型预测控制研究现状与展望[J]. 控制理论与应用, 2018, 35(9): 1181-1192.</w:t>
      </w:r>
    </w:p>
    <w:p w14:paraId="47D4E3CD">
      <w:pPr>
        <w:pStyle w:val="11"/>
        <w:spacing w:before="0" w:beforeLines="0" w:after="0" w:afterLines="0" w:line="360" w:lineRule="auto"/>
        <w:ind w:left="420" w:hanging="420"/>
      </w:pPr>
      <w:r>
        <w:rPr>
          <w:rFonts w:ascii="Times New Roman" w:hAnsi="Times New Roman" w:eastAsia="宋体" w:cs="Times New Roman"/>
          <w:b w:val="0"/>
          <w:sz w:val="24"/>
        </w:rPr>
        <w:t>[26]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14:paraId="15393384">
      <w:pPr>
        <w:pStyle w:val="11"/>
        <w:spacing w:before="0" w:beforeLines="0" w:after="0" w:afterLines="0" w:line="360" w:lineRule="auto"/>
        <w:ind w:left="420" w:hanging="420"/>
      </w:pPr>
      <w:r>
        <w:rPr>
          <w:rFonts w:ascii="Times New Roman" w:hAnsi="Times New Roman" w:eastAsia="宋体" w:cs="Times New Roman"/>
          <w:b w:val="0"/>
          <w:sz w:val="24"/>
        </w:rPr>
        <w:t>[27] HESHMATI-ALAMDARI S, NIKOU A, DIMAROGONAS D V. Robust trajectory tracking control for underactuated autonomous underwater vehicles in uncertain environments[J]. IEEE Transactions on Automation Science and Engineering, 2020, 18(3): 1288-1301.</w:t>
      </w:r>
    </w:p>
    <w:p w14:paraId="0A7D7319">
      <w:pPr>
        <w:pStyle w:val="11"/>
        <w:spacing w:before="0" w:beforeLines="0" w:after="0" w:afterLines="0" w:line="360" w:lineRule="auto"/>
        <w:ind w:left="420" w:hanging="420"/>
      </w:pPr>
      <w:r>
        <w:rPr>
          <w:rFonts w:ascii="Times New Roman" w:hAnsi="Times New Roman" w:eastAsia="宋体" w:cs="Times New Roman"/>
          <w:b w:val="0"/>
          <w:sz w:val="24"/>
        </w:rPr>
        <w:t>[28] JOHANSEN T A, FOSSEN T I. Control allocation: A survey[J]. Automatica, 2013, 49(5): 1087-1103.</w:t>
      </w:r>
    </w:p>
    <w:p w14:paraId="5649C321">
      <w:pPr>
        <w:pStyle w:val="11"/>
        <w:spacing w:before="0" w:beforeLines="0" w:after="0" w:afterLines="0" w:line="360" w:lineRule="auto"/>
        <w:ind w:left="420" w:hanging="420"/>
      </w:pPr>
      <w:r>
        <w:rPr>
          <w:rFonts w:ascii="Times New Roman" w:hAnsi="Times New Roman" w:eastAsia="宋体" w:cs="Times New Roman"/>
          <w:b w:val="0"/>
          <w:sz w:val="24"/>
        </w:rPr>
        <w:t>[29] BODSON M. Evaluation of optimization methods for control allocation[J]. Journal of Guidance, Control, and Dynamics, 2002, 25(4): 703-711.</w:t>
      </w:r>
    </w:p>
    <w:p w14:paraId="21479EA2">
      <w:pPr>
        <w:pStyle w:val="11"/>
        <w:spacing w:before="0" w:beforeLines="0" w:after="0" w:afterLines="0" w:line="360" w:lineRule="auto"/>
        <w:ind w:left="420" w:hanging="420"/>
      </w:pPr>
      <w:r>
        <w:rPr>
          <w:rFonts w:ascii="Times New Roman" w:hAnsi="Times New Roman" w:eastAsia="宋体" w:cs="Times New Roman"/>
          <w:b w:val="0"/>
          <w:sz w:val="24"/>
        </w:rPr>
        <w:t>[30] HÄRKEGÅRD O. Efficient active set algorithms for solving constrained linear quadratic control allocation problems[J]. Journal of Guidance, Control, and Dynamics, 2002, 25(5): 827-835.</w:t>
      </w:r>
    </w:p>
    <w:p w14:paraId="5339E3CE">
      <w:pPr>
        <w:pStyle w:val="11"/>
        <w:spacing w:before="0" w:beforeLines="0" w:after="0" w:afterLines="0" w:line="360" w:lineRule="auto"/>
        <w:ind w:left="420" w:hanging="420"/>
      </w:pPr>
      <w:r>
        <w:rPr>
          <w:rFonts w:ascii="Times New Roman" w:hAnsi="Times New Roman" w:eastAsia="宋体" w:cs="Times New Roman"/>
          <w:b w:val="0"/>
          <w:sz w:val="24"/>
        </w:rPr>
        <w:t>[31] 程卫平, 王猛, 曾现敏, 等. 基于可行方向法的水下机器人推力分配[J]. 舰船科学技术, 2022, 44(13): 102-106.</w:t>
      </w:r>
    </w:p>
    <w:p w14:paraId="6F2853DC">
      <w:pPr>
        <w:pStyle w:val="11"/>
        <w:spacing w:before="0" w:beforeLines="0" w:after="0" w:afterLines="0" w:line="360" w:lineRule="auto"/>
        <w:ind w:left="420" w:hanging="420"/>
      </w:pPr>
      <w:r>
        <w:rPr>
          <w:rFonts w:ascii="Times New Roman" w:hAnsi="Times New Roman" w:eastAsia="宋体" w:cs="Times New Roman"/>
          <w:b w:val="0"/>
          <w:sz w:val="24"/>
        </w:rPr>
        <w:t>[32] 孙功武, 苏义鑫, 毛英, 等. 基于模糊逻辑的混合推进ROV多级推力分配策略[J]. 机器人, 2023, 45(4): 472-482.</w:t>
      </w:r>
    </w:p>
    <w:p w14:paraId="3E91DB56">
      <w:pPr>
        <w:pStyle w:val="11"/>
        <w:spacing w:before="0" w:beforeLines="0" w:after="0" w:afterLines="0" w:line="360" w:lineRule="auto"/>
        <w:ind w:left="420" w:hanging="420"/>
      </w:pPr>
      <w:r>
        <w:rPr>
          <w:rFonts w:ascii="Times New Roman" w:hAnsi="Times New Roman" w:eastAsia="宋体" w:cs="Times New Roman"/>
          <w:b w:val="0"/>
          <w:sz w:val="24"/>
        </w:rPr>
        <w:t>[33] LI J H, LEE M J, KIM M G, et al. MCE-based direct FTC method for dynamic positioning of underwater vehicles with thruster redundancy[C]//2025 IEEE/RSJ International Conference on Intelligent Robots and Systems (IROS). Hangzhou, China: IEEE, 2025: 1542-1549. DOI: 10.1109/IROS60139.2025.11246250.</w:t>
      </w:r>
    </w:p>
    <w:p w14:paraId="781733FF">
      <w:pPr>
        <w:pStyle w:val="11"/>
        <w:spacing w:before="0" w:beforeLines="0" w:after="0" w:afterLines="0" w:line="360" w:lineRule="auto"/>
        <w:ind w:left="420" w:hanging="420"/>
      </w:pPr>
      <w:r>
        <w:rPr>
          <w:rFonts w:ascii="Times New Roman" w:hAnsi="Times New Roman" w:eastAsia="宋体" w:cs="Times New Roman"/>
          <w:b w:val="0"/>
          <w:sz w:val="24"/>
        </w:rPr>
        <w:t>[34] MEIER L, HONEGGER D, POLLEFEYS M. PX4: A node-based multithreaded open source robotics framework for deeply embedded platforms[C]//2015 IEEE International Conference on Robotics and Automation (ICRA). Seattle, WA, USA: IEEE, 2015: 6235-6240.</w:t>
      </w:r>
    </w:p>
    <w:p w14:paraId="7C2CA3D5">
      <w:pPr>
        <w:pStyle w:val="11"/>
        <w:spacing w:before="0" w:beforeLines="0" w:after="0" w:afterLines="0" w:line="360" w:lineRule="auto"/>
        <w:ind w:left="420" w:hanging="420"/>
      </w:pPr>
      <w:r>
        <w:rPr>
          <w:rFonts w:ascii="Times New Roman" w:hAnsi="Times New Roman" w:eastAsia="宋体" w:cs="Times New Roman"/>
          <w:b w:val="0"/>
          <w:sz w:val="24"/>
        </w:rPr>
        <w:t>[35] PX4 Development Team. Control Allocation (Mixing)[EB/OL]. [2026-10-10]. https://docs.px4.io/main/en/concept/control_allocation.</w:t>
      </w:r>
    </w:p>
    <w:p w14:paraId="3294D216">
      <w:pPr>
        <w:pStyle w:val="11"/>
        <w:spacing w:before="0" w:beforeLines="0" w:after="0" w:afterLines="0" w:line="360" w:lineRule="auto"/>
        <w:ind w:left="420" w:hanging="420"/>
      </w:pPr>
      <w:r>
        <w:rPr>
          <w:rFonts w:ascii="Times New Roman" w:hAnsi="Times New Roman" w:eastAsia="宋体" w:cs="Times New Roman"/>
          <w:b w:val="0"/>
          <w:sz w:val="24"/>
        </w:rPr>
        <w:t>[36] PX4 Development Team. BlueROV2 (UUV)[EB/OL]. [2026-10-10]. https://docs.px4.io/main/en/frames_sub/bluerov2.</w:t>
      </w:r>
    </w:p>
    <w:p w14:paraId="435049E7">
      <w:pPr>
        <w:pStyle w:val="11"/>
        <w:spacing w:before="0" w:beforeLines="0" w:after="0" w:afterLines="0" w:line="360" w:lineRule="auto"/>
        <w:ind w:left="420" w:hanging="420"/>
      </w:pPr>
      <w:r>
        <w:rPr>
          <w:rFonts w:ascii="Times New Roman" w:hAnsi="Times New Roman" w:eastAsia="宋体" w:cs="Times New Roman"/>
          <w:b w:val="0"/>
          <w:sz w:val="24"/>
        </w:rPr>
        <w:t>[37] PX4 Development Team. Offboard Mode (Generic/All Frames)[EB/OL]. [2026-10-10]. https://docs.px4.io/main/en/flight_modes/offboard.</w:t>
      </w:r>
    </w:p>
    <w:permEnd w:id="14"/>
    <w:p w14:paraId="2CA8248D">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四、审核意见</w:t>
      </w:r>
    </w:p>
    <w:tbl>
      <w:tblPr>
        <w:tblStyle w:val="5"/>
        <w:tblW w:w="85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3A9B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8" w:hRule="atLeast"/>
        </w:trPr>
        <w:tc>
          <w:tcPr>
            <w:tcW w:w="8500" w:type="dxa"/>
            <w:vAlign w:val="bottom"/>
          </w:tcPr>
          <w:p w14:paraId="498EEE18">
            <w:pPr>
              <w:spacing w:line="360" w:lineRule="exact"/>
              <w:ind w:firstLine="480"/>
              <w:rPr>
                <w:rFonts w:hint="eastAsia" w:ascii="宋体" w:hAnsi="宋体"/>
                <w:szCs w:val="21"/>
              </w:rPr>
            </w:pPr>
            <w:r>
              <w:rPr>
                <w:rFonts w:ascii="黑体" w:hAnsi="宋体" w:eastAsia="黑体"/>
                <w:szCs w:val="24"/>
              </w:rPr>
              <w:t>指导教师意见：</w:t>
            </w:r>
            <w:permStart w:id="15" w:edGrp="everyone"/>
          </w:p>
          <w:p w14:paraId="0B50E364">
            <w:pPr>
              <w:spacing w:line="360" w:lineRule="exact"/>
              <w:ind w:firstLine="480"/>
              <w:rPr>
                <w:rFonts w:hint="eastAsia" w:ascii="宋体" w:hAnsi="宋体"/>
                <w:color w:val="ADADAD"/>
                <w:szCs w:val="24"/>
              </w:rPr>
            </w:pPr>
            <w:r>
              <w:rPr>
                <w:rFonts w:ascii="宋体" w:hAnsi="宋体"/>
                <w:color w:val="ADADAD"/>
                <w:szCs w:val="24"/>
              </w:rPr>
              <w:t>（课题难度是否适中、工作量是否饱满、进度安排是否合理、工作条件是否具备、是否同意开题等）</w:t>
            </w:r>
          </w:p>
          <w:p w14:paraId="3930308C">
            <w:pPr>
              <w:pStyle w:val="10"/>
              <w:ind w:firstLine="480"/>
              <w:rPr>
                <w:rFonts w:hint="eastAsia"/>
              </w:rPr>
            </w:pPr>
          </w:p>
          <w:p w14:paraId="08C32DB3">
            <w:pPr>
              <w:pStyle w:val="10"/>
              <w:ind w:firstLine="480"/>
              <w:rPr>
                <w:rFonts w:hint="eastAsia"/>
              </w:rPr>
            </w:pPr>
          </w:p>
          <w:p w14:paraId="42BCE067">
            <w:pPr>
              <w:pStyle w:val="10"/>
              <w:ind w:firstLine="480"/>
              <w:rPr>
                <w:rFonts w:hint="eastAsia"/>
              </w:rPr>
            </w:pPr>
          </w:p>
          <w:p w14:paraId="62F9A7FB">
            <w:pPr>
              <w:pStyle w:val="10"/>
              <w:ind w:firstLine="480"/>
              <w:rPr>
                <w:rFonts w:hint="eastAsia"/>
              </w:rPr>
            </w:pPr>
          </w:p>
          <w:p w14:paraId="1EAE3CD9">
            <w:pPr>
              <w:pStyle w:val="10"/>
              <w:ind w:firstLine="480"/>
              <w:rPr>
                <w:rFonts w:hint="eastAsia"/>
              </w:rPr>
            </w:pPr>
          </w:p>
          <w:p w14:paraId="1D61238E">
            <w:pPr>
              <w:pStyle w:val="10"/>
              <w:ind w:firstLine="480"/>
              <w:rPr>
                <w:rFonts w:hint="eastAsia"/>
              </w:rPr>
            </w:pPr>
          </w:p>
          <w:p w14:paraId="329DC671">
            <w:pPr>
              <w:pStyle w:val="10"/>
              <w:ind w:firstLine="480"/>
              <w:rPr>
                <w:rFonts w:hint="eastAsia"/>
              </w:rPr>
            </w:pPr>
          </w:p>
          <w:permEnd w:id="15"/>
          <w:p w14:paraId="69D2BE4E">
            <w:pPr>
              <w:ind w:firstLine="5520" w:firstLineChars="2300"/>
              <w:rPr>
                <w:rFonts w:hint="eastAsia" w:ascii="黑体" w:hAnsi="宋体" w:eastAsia="黑体"/>
                <w:szCs w:val="24"/>
              </w:rPr>
            </w:pPr>
            <w:r>
              <w:rPr>
                <w:rFonts w:hint="eastAsia" w:ascii="黑体" w:hAnsi="宋体" w:eastAsia="黑体"/>
                <w:szCs w:val="24"/>
              </w:rPr>
              <w:t>指导教师签名</w:t>
            </w:r>
            <w:r>
              <w:rPr>
                <w:rFonts w:hint="eastAsia" w:ascii="黑体" w:hAnsi="宋体" w:eastAsia="黑体"/>
                <w:szCs w:val="24"/>
                <w:u w:val="single"/>
              </w:rPr>
              <w:t xml:space="preserve">   </w:t>
            </w:r>
            <w:permStart w:id="16" w:edGrp="everyone"/>
            <w:r>
              <w:rPr>
                <w:rFonts w:hint="eastAsia" w:ascii="黑体" w:hAnsi="宋体" w:eastAsia="黑体"/>
                <w:szCs w:val="24"/>
                <w:u w:val="single"/>
              </w:rPr>
              <w:t xml:space="preserve">  </w:t>
            </w:r>
            <w:permEnd w:id="16"/>
            <w:r>
              <w:rPr>
                <w:rFonts w:hint="eastAsia" w:ascii="黑体" w:hAnsi="宋体" w:eastAsia="黑体"/>
                <w:szCs w:val="24"/>
                <w:u w:val="single"/>
              </w:rPr>
              <w:t xml:space="preserve">  </w:t>
            </w:r>
          </w:p>
          <w:p w14:paraId="54DBADB2">
            <w:pPr>
              <w:ind w:firstLine="480"/>
              <w:jc w:val="center"/>
              <w:rPr>
                <w:rFonts w:hint="eastAsia" w:ascii="黑体" w:hAnsi="宋体" w:eastAsia="黑体"/>
                <w:szCs w:val="24"/>
              </w:rPr>
            </w:pPr>
            <w:r>
              <w:rPr>
                <w:rFonts w:hint="eastAsia" w:ascii="宋体" w:hAnsi="宋体"/>
                <w:szCs w:val="24"/>
              </w:rPr>
              <w:t xml:space="preserve">                                        </w:t>
            </w:r>
            <w:r>
              <w:rPr>
                <w:rFonts w:hint="eastAsia" w:ascii="宋体" w:hAnsi="宋体"/>
                <w:szCs w:val="24"/>
                <w:u w:val="single"/>
              </w:rPr>
              <w:t xml:space="preserve"> </w:t>
            </w:r>
            <w:permStart w:id="17" w:edGrp="everyone"/>
            <w:r>
              <w:rPr>
                <w:rFonts w:hint="eastAsia" w:ascii="宋体" w:hAnsi="宋体"/>
                <w:szCs w:val="24"/>
                <w:u w:val="single"/>
              </w:rPr>
              <w:t xml:space="preserve"> </w:t>
            </w:r>
            <w:permEnd w:id="17"/>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18" w:edGrp="everyone"/>
            <w:r>
              <w:rPr>
                <w:rFonts w:hint="eastAsia" w:ascii="宋体" w:hAnsi="宋体"/>
                <w:szCs w:val="24"/>
                <w:u w:val="single"/>
              </w:rPr>
              <w:t xml:space="preserve"> </w:t>
            </w:r>
            <w:permEnd w:id="18"/>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19" w:edGrp="everyone"/>
            <w:r>
              <w:rPr>
                <w:rFonts w:hint="eastAsia" w:ascii="宋体" w:hAnsi="宋体"/>
                <w:szCs w:val="24"/>
                <w:u w:val="single"/>
              </w:rPr>
              <w:t xml:space="preserve"> </w:t>
            </w:r>
            <w:permEnd w:id="19"/>
            <w:r>
              <w:rPr>
                <w:rFonts w:hint="eastAsia" w:ascii="宋体" w:hAnsi="宋体"/>
                <w:szCs w:val="24"/>
                <w:u w:val="single"/>
              </w:rPr>
              <w:t xml:space="preserve"> </w:t>
            </w:r>
            <w:r>
              <w:rPr>
                <w:rFonts w:hint="eastAsia" w:ascii="黑体" w:hAnsi="宋体" w:eastAsia="黑体"/>
                <w:szCs w:val="24"/>
              </w:rPr>
              <w:t>日</w:t>
            </w:r>
          </w:p>
          <w:p w14:paraId="0AA36D12">
            <w:pPr>
              <w:ind w:firstLine="560"/>
              <w:jc w:val="center"/>
              <w:rPr>
                <w:rFonts w:hint="eastAsia" w:ascii="宋体" w:hAnsi="宋体"/>
                <w:sz w:val="28"/>
              </w:rPr>
            </w:pPr>
          </w:p>
        </w:tc>
      </w:tr>
      <w:tr w14:paraId="4FEE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5" w:hRule="atLeast"/>
        </w:trPr>
        <w:tc>
          <w:tcPr>
            <w:tcW w:w="8500" w:type="dxa"/>
            <w:vAlign w:val="bottom"/>
          </w:tcPr>
          <w:p w14:paraId="0BA4A45F">
            <w:pPr>
              <w:ind w:firstLine="480"/>
              <w:rPr>
                <w:rFonts w:hint="eastAsia" w:ascii="黑体" w:hAnsi="楷体" w:eastAsia="黑体"/>
                <w:szCs w:val="24"/>
              </w:rPr>
            </w:pPr>
            <w:r>
              <w:rPr>
                <w:rFonts w:hint="eastAsia" w:ascii="黑体" w:hAnsi="楷体" w:eastAsia="黑体"/>
                <w:szCs w:val="24"/>
              </w:rPr>
              <w:t>专业审核意见：</w:t>
            </w:r>
          </w:p>
          <w:p w14:paraId="464295D2">
            <w:pPr>
              <w:spacing w:line="360" w:lineRule="auto"/>
              <w:ind w:firstLine="480"/>
              <w:rPr>
                <w:rFonts w:hint="eastAsia" w:ascii="宋体" w:hAnsi="宋体"/>
                <w:color w:val="ADADAD"/>
                <w:szCs w:val="24"/>
              </w:rPr>
            </w:pPr>
            <w:permStart w:id="20" w:edGrp="everyone"/>
            <w:r>
              <w:rPr>
                <w:rFonts w:hint="eastAsia" w:hAnsi="宋体"/>
                <w:color w:val="ADADAD"/>
                <w:szCs w:val="24"/>
              </w:rPr>
              <w:t>（适当对各项内容给与意见和评价，字数不限。）</w:t>
            </w:r>
          </w:p>
          <w:p w14:paraId="037A73CE">
            <w:pPr>
              <w:pStyle w:val="10"/>
              <w:ind w:firstLine="480"/>
              <w:rPr>
                <w:rFonts w:hint="eastAsia"/>
              </w:rPr>
            </w:pPr>
          </w:p>
          <w:p w14:paraId="0BB96980">
            <w:pPr>
              <w:pStyle w:val="10"/>
              <w:ind w:firstLine="480"/>
              <w:rPr>
                <w:rFonts w:hint="eastAsia"/>
              </w:rPr>
            </w:pPr>
          </w:p>
          <w:p w14:paraId="631107CC">
            <w:pPr>
              <w:pStyle w:val="10"/>
              <w:ind w:firstLine="480"/>
              <w:rPr>
                <w:rFonts w:hint="eastAsia"/>
              </w:rPr>
            </w:pPr>
          </w:p>
          <w:p w14:paraId="1F651512">
            <w:pPr>
              <w:pStyle w:val="10"/>
              <w:ind w:firstLine="480"/>
              <w:rPr>
                <w:rFonts w:hint="eastAsia"/>
              </w:rPr>
            </w:pPr>
          </w:p>
          <w:p w14:paraId="03E625F7">
            <w:pPr>
              <w:pStyle w:val="10"/>
              <w:ind w:firstLine="480"/>
              <w:rPr>
                <w:rFonts w:hint="eastAsia"/>
              </w:rPr>
            </w:pPr>
          </w:p>
          <w:permEnd w:id="20"/>
          <w:p w14:paraId="2F4B20B7">
            <w:pPr>
              <w:ind w:firstLine="5760" w:firstLineChars="2400"/>
              <w:rPr>
                <w:rFonts w:hint="eastAsia" w:ascii="黑体" w:hAnsi="宋体" w:eastAsia="黑体"/>
                <w:szCs w:val="24"/>
              </w:rPr>
            </w:pPr>
            <w:r>
              <w:rPr>
                <w:rFonts w:hint="eastAsia" w:ascii="黑体" w:hAnsi="宋体" w:eastAsia="黑体"/>
                <w:szCs w:val="24"/>
              </w:rPr>
              <w:t>负责人签名</w:t>
            </w:r>
            <w:r>
              <w:rPr>
                <w:rFonts w:hint="eastAsia" w:ascii="黑体" w:hAnsi="宋体" w:eastAsia="黑体"/>
                <w:szCs w:val="24"/>
                <w:u w:val="single"/>
              </w:rPr>
              <w:t xml:space="preserve">  </w:t>
            </w:r>
            <w:permStart w:id="21" w:edGrp="everyone"/>
            <w:r>
              <w:rPr>
                <w:rFonts w:hint="eastAsia" w:ascii="黑体" w:hAnsi="宋体" w:eastAsia="黑体"/>
                <w:szCs w:val="24"/>
                <w:u w:val="single"/>
              </w:rPr>
              <w:t xml:space="preserve">  </w:t>
            </w:r>
            <w:permEnd w:id="21"/>
            <w:r>
              <w:rPr>
                <w:rFonts w:hint="eastAsia" w:ascii="黑体" w:hAnsi="宋体" w:eastAsia="黑体"/>
                <w:szCs w:val="24"/>
                <w:u w:val="single"/>
              </w:rPr>
              <w:t xml:space="preserve">  </w:t>
            </w:r>
          </w:p>
          <w:p w14:paraId="7032D7DB">
            <w:pPr>
              <w:ind w:firstLine="480"/>
              <w:jc w:val="center"/>
              <w:rPr>
                <w:rFonts w:hint="eastAsia" w:ascii="楷体" w:hAnsi="楷体" w:eastAsia="楷体"/>
                <w:szCs w:val="24"/>
              </w:rPr>
            </w:pPr>
            <w:r>
              <w:rPr>
                <w:rFonts w:hint="eastAsia" w:ascii="宋体" w:hAnsi="宋体"/>
                <w:szCs w:val="24"/>
              </w:rPr>
              <w:t xml:space="preserve">                                          </w:t>
            </w:r>
            <w:r>
              <w:rPr>
                <w:rFonts w:hint="eastAsia" w:ascii="宋体" w:hAnsi="宋体"/>
                <w:szCs w:val="24"/>
                <w:u w:val="single"/>
              </w:rPr>
              <w:t xml:space="preserve"> </w:t>
            </w:r>
            <w:permStart w:id="22" w:edGrp="everyone"/>
            <w:r>
              <w:rPr>
                <w:rFonts w:hint="eastAsia" w:ascii="宋体" w:hAnsi="宋体"/>
                <w:szCs w:val="24"/>
                <w:u w:val="single"/>
              </w:rPr>
              <w:t xml:space="preserve"> </w:t>
            </w:r>
            <w:permEnd w:id="22"/>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23" w:edGrp="everyone"/>
            <w:r>
              <w:rPr>
                <w:rFonts w:hint="eastAsia" w:ascii="宋体" w:hAnsi="宋体"/>
                <w:szCs w:val="24"/>
                <w:u w:val="single"/>
              </w:rPr>
              <w:t xml:space="preserve"> </w:t>
            </w:r>
            <w:permEnd w:id="23"/>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24" w:edGrp="everyone"/>
            <w:r>
              <w:rPr>
                <w:rFonts w:hint="eastAsia" w:ascii="宋体" w:hAnsi="宋体"/>
                <w:szCs w:val="24"/>
                <w:u w:val="single"/>
              </w:rPr>
              <w:t xml:space="preserve"> </w:t>
            </w:r>
            <w:permEnd w:id="24"/>
            <w:r>
              <w:rPr>
                <w:rFonts w:hint="eastAsia" w:ascii="宋体" w:hAnsi="宋体"/>
                <w:szCs w:val="24"/>
                <w:u w:val="single"/>
              </w:rPr>
              <w:t xml:space="preserve"> </w:t>
            </w:r>
            <w:r>
              <w:rPr>
                <w:rFonts w:hint="eastAsia" w:ascii="黑体" w:hAnsi="宋体" w:eastAsia="黑体"/>
                <w:szCs w:val="24"/>
              </w:rPr>
              <w:t>日</w:t>
            </w:r>
          </w:p>
          <w:p w14:paraId="698FE26B">
            <w:pPr>
              <w:ind w:firstLine="480"/>
              <w:jc w:val="center"/>
              <w:rPr>
                <w:rFonts w:hint="eastAsia" w:ascii="楷体" w:hAnsi="楷体" w:eastAsia="楷体"/>
              </w:rPr>
            </w:pPr>
          </w:p>
        </w:tc>
      </w:tr>
    </w:tbl>
    <w:p w14:paraId="7C2C33EF">
      <w:pPr>
        <w:ind w:firstLine="560"/>
        <w:jc w:val="left"/>
        <w:rPr>
          <w:rFonts w:hint="eastAsia" w:ascii="宋体" w:hAnsi="宋体"/>
          <w:sz w:val="28"/>
        </w:rPr>
      </w:pPr>
    </w:p>
    <w:p w14:paraId="46D16151">
      <w:pPr>
        <w:ind w:firstLine="480"/>
        <w:jc w:val="left"/>
        <w:rPr>
          <w:rFonts w:hint="eastAsia" w:ascii="宋体" w:hAnsi="宋体"/>
        </w:rPr>
      </w:pPr>
    </w:p>
    <w:sectPr>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9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059E5855"/>
    <w:rsid w:val="1FD20826"/>
    <w:rsid w:val="3F8C541B"/>
    <w:rsid w:val="6B805CF5"/>
    <w:rsid w:val="7E502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0"/>
    <w:rPr>
      <w:kern w:val="2"/>
      <w:sz w:val="18"/>
      <w:szCs w:val="18"/>
    </w:rPr>
  </w:style>
  <w:style w:type="character" w:customStyle="1" w:styleId="8">
    <w:name w:val="页脚 Char"/>
    <w:link w:val="3"/>
    <w:qFormat/>
    <w:uiPriority w:val="0"/>
    <w:rPr>
      <w:kern w:val="2"/>
      <w:sz w:val="18"/>
      <w:szCs w:val="18"/>
    </w:rPr>
  </w:style>
  <w:style w:type="paragraph" w:customStyle="1" w:styleId="9">
    <w:name w:val="条"/>
    <w:basedOn w:val="1"/>
    <w:qFormat/>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qFormat/>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14</Pages>
  <Words>9802</Words>
  <Characters>14847</Characters>
  <Lines>82</Lines>
  <Paragraphs>45</Paragraphs>
  <TotalTime>0</TotalTime>
  <ScaleCrop>false</ScaleCrop>
  <LinksUpToDate>false</LinksUpToDate>
  <CharactersWithSpaces>15774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2026-10-10T20:56:42Z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974D0B8056AD4BE78BEEB6D17871E013_12</vt:lpwstr>
  </property>
</Properties>
</file>