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bookmarkStart w:id="26" w:name="一毕业论文课题背景"/>
    <w:p>
      <w:pPr>
        <w:pStyle w:val="PX4节标题"/>
        <w:pageBreakBefore/>
        <w:widowControl/>
        <w:ind w:firstLine="0"/>
        <w:jc w:val="left"/>
      </w:pPr>
      <w:r>
        <w:rPr>
          <w:rFonts w:ascii="Times New Roman" w:hAnsi="Times New Roman" w:eastAsia="黑体"/>
          <w:sz w:val="24"/>
        </w:rPr>
        <w:t xml:space="preserve">一、毕业论文课题背景</w:t>
      </w:r>
    </w:p>
    <w:bookmarkStart w:id="20" w:name="课题来源及研究的目的和意义"/>
    <w:p>
      <w:pPr>
        <w:pStyle w:val="PX4二级标题"/>
        <w:widowControl/>
        <w:ind w:firstLine="0"/>
        <w:jc w:val="left"/>
      </w:pPr>
      <w:r>
        <w:rPr>
          <w:rFonts w:ascii="Times New Roman" w:hAnsi="Times New Roman" w:eastAsia="黑体"/>
          <w:sz w:val="24"/>
        </w:rPr>
        <w:t xml:space="preserve">1．课题来源及研究的目的和意义</w:t>
      </w:r>
    </w:p>
    <w:p>
      <w:pPr>
        <w:pStyle w:val="PX4正文"/>
        <w:widowControl/>
        <w:ind w:firstLine="480"/>
        <w:jc w:val="both"/>
      </w:pPr>
      <w:r>
        <w:rPr>
          <w:rFonts w:ascii="Times New Roman" w:hAnsi="Times New Roman" w:eastAsia="宋体"/>
          <w:sz w:val="24"/>
        </w:rPr>
        <w:t>随着“海洋强国”战略的推进，水下基础设施的安全运维对小型水下航行器提出了更高要求。《“十四五”机器人产业发展规划》[1]将水下探测、监测和作业机器人纳入特种机器人重点发展方向；《“机器人+”应用行动实施方案》[2]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PX4正文"/>
        <w:widowControl/>
        <w:ind w:firstLine="480"/>
        <w:jc w:val="both"/>
      </w:pPr>
      <w:r>
        <w:rPr>
          <w:rFonts w:ascii="Times New Roman" w:hAnsi="Times New Roman" w:eastAsia="宋体"/>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[3]；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PX4正文"/>
        <w:widowControl/>
        <w:ind w:firstLine="480"/>
        <w:jc w:val="both"/>
      </w:pPr>
      <w:r>
        <w:rPr>
          <w:rFonts w:ascii="Times New Roman" w:hAnsi="Times New Roman" w:eastAsia="宋体"/>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[4]。因此，面向具体航行器的动力学特性及推进器约束，在PX4相关环境中开展MPC算法的适配与验证具有研究价值。</w:t>
      </w:r>
    </w:p>
    <w:bookmarkEnd w:id="20"/>
    <w:bookmarkStart w:id="25" w:name="国内外在该方向的研究现状和发展趋势"/>
    <w:p>
      <w:pPr>
        <w:pStyle w:val="PX4二级标题"/>
        <w:widowControl/>
        <w:ind w:firstLine="0"/>
        <w:jc w:val="left"/>
      </w:pPr>
      <w:r>
        <w:rPr>
          <w:rFonts w:ascii="Times New Roman" w:hAnsi="Times New Roman" w:eastAsia="黑体"/>
          <w:sz w:val="24"/>
        </w:rPr>
        <w:t xml:space="preserve">2．国内外在该方向的研究现状和发展趋势</w:t>
      </w:r>
    </w:p>
    <w:p>
      <w:pPr>
        <w:pStyle w:val="PX4正文"/>
        <w:widowControl/>
        <w:ind w:firstLine="480"/>
        <w:jc w:val="both"/>
      </w:pPr>
      <w:r>
        <w:t>随着水下航行器在海洋资源勘探、水下设施巡检及深海精细作业等领域的应用不断深化，其运动控制研究逐步由单一平面的稳定控制向多自由度强耦合、复杂环境扰动及执行器多重物理约束下的高精度协同控制演进。面向水下结构检测、狭域定位悬停与精密作业等任务，采用多推进器空间矢量布局的全向水下航行器（如 BlueROV2 Heavy 构型），在水动力预测精度、受约束运动控制质量以及飞控平台工程承载能力等方面提出了更高的系统性要求。围绕上述核心需求，国内外相关研究主要沿着三条相互支撑的技术主线展开：其一，水下航行器动力学建模与参数辨识——为上层控制器提供高精度的在线预测模型基础；其二，多推进器受约束运动控制与推力分配——实现六自由度控制决策、执行器多物理极限约束与冗余分配多解性的联立协调；其三，PX4 开源飞控水下适配与闭环仿真验证——消除算法数学逻辑与工程软件栈之间的时序鸿沟，实现从离线仿真向工程系统的高置信度迁移。上述三条主线构成了相互衔接的系统技术体系，共同构成本课题的研究背景。</w:t>
      </w:r>
    </w:p>
    <w:bookmarkStart w:id="21" w:name="水下航行器动力学建模与参数辨识研究现状"/>
    <w:p>
      <w:pPr>
        <w:pStyle w:val="PX4三级标题"/>
        <w:widowControl/>
        <w:ind w:firstLine="0"/>
        <w:jc w:val="left"/>
      </w:pPr>
      <w:r>
        <w:rPr>
          <w:rFonts w:ascii="Times New Roman" w:hAnsi="Times New Roman" w:eastAsia="黑体"/>
          <w:sz w:val="24"/>
        </w:rPr>
        <w:t xml:space="preserve">2.1 水下航行器动力学建模与参数辨识研究现状</w:t>
      </w:r>
    </w:p>
    <w:p>
      <w:pPr>
        <w:pStyle w:val="PX4正文"/>
        <w:widowControl/>
        <w:ind w:firstLine="480"/>
        <w:jc w:val="both"/>
      </w:pPr>
      <w:r>
        <w:t>水下航行器工作于强流体扰动、高阶六自由度非线性耦合的复杂物理环境中。与常规无人机或地面机器人相比，航行器运动中所受的流体附加质量惯性力、高阶黏性水动力阻尼及动压耦合效应均随速度、姿态和流场环境发生显著变化，导致精确机理建模的高计算代价与控制回路对在线预测实时性的严苛要求之间，长期存在根本性矛盾。控制导向动力学模型的核心追求，是在可承受的嵌入式计算预算内获得足够的状态预测精度与物理外推泛化能力。围绕这一目标，学界历经了经典机理建模、计算流体力学（CFD）数值模拟、水池试验辨识以及前沿数据驱动学习等技术演进阶段，并逐步向机理与数据深度融合的物理引导灰箱建模范式演化。</w:t>
      </w:r>
    </w:p>
    <w:p>
      <w:pPr>
        <w:pStyle w:val="PX4正文"/>
        <w:widowControl/>
        <w:ind w:firstLine="480"/>
        <w:jc w:val="both"/>
      </w:pPr>
      <w:r>
        <w:rPr>
          <w:rFonts w:ascii="Times New Roman" w:hAnsi="Times New Roman" w:eastAsia="宋体"/>
          <w:sz w:val="24"/>
        </w:rPr>
        <w:t xml:space="preserve">在机理建模方面，Fossen[5]以牛顿—欧拉方程和SNAME坐标约定为基础，建立了六自由度非线性动力学的标准表达；严卫生等[6]推进了相关理论在水下航行器运动分析与控制中的系统应用。令惯性坐标系位姿为</w:t>
      </w:r>
      <m:oMath>
        <m:r>
          <m:t>η</m:t>
        </m:r>
        <m:r>
          <m:rPr>
            <m:sty m:val="p"/>
          </m:rPr>
          <m:t>=</m:t>
        </m:r>
        <m:sSup>
          <m:e>
            <m:d>
              <m:dPr>
                <m:begChr m:val="["/>
                <m:endChr m:val="]"/>
                <m:sepChr m:val=""/>
                <m:grow/>
              </m:dPr>
              <m:e>
                <m:r>
                  <m:t>x</m:t>
                </m:r>
                <m:r>
                  <m:rPr>
                    <m:sty m:val="p"/>
                  </m:rPr>
                  <m:t>,</m:t>
                </m:r>
                <m:r>
                  <m:t>y</m:t>
                </m:r>
                <m:r>
                  <m:rPr>
                    <m:sty m:val="p"/>
                  </m:rPr>
                  <m:t>,</m:t>
                </m:r>
                <m:r>
                  <m:t>z</m:t>
                </m:r>
                <m:r>
                  <m:rPr>
                    <m:sty m:val="p"/>
                  </m:rPr>
                  <m:t>,</m:t>
                </m:r>
                <m:r>
                  <m:t>ϕ</m:t>
                </m:r>
                <m:r>
                  <m:rPr>
                    <m:sty m:val="p"/>
                  </m:rPr>
                  <m:t>,</m:t>
                </m:r>
                <m:r>
                  <m:t>θ</m:t>
                </m:r>
                <m:r>
                  <m:rPr>
                    <m:sty m:val="p"/>
                  </m:rPr>
                  <m:t>,</m:t>
                </m:r>
                <m:r>
                  <m:t>ψ</m:t>
                </m:r>
              </m:e>
            </m:d>
          </m:e>
          <m:sup>
            <m:r>
              <m:t>T</m:t>
            </m:r>
          </m:sup>
        </m:sSup>
      </m:oMath>
      <w:r>
        <w:rPr>
          <w:rFonts w:ascii="Times New Roman" w:hAnsi="Times New Roman" w:eastAsia="宋体"/>
          <w:sz w:val="24"/>
        </w:rPr>
        <w:t xml:space="preserve">，艇体坐标系线速度与角速度为</w:t>
      </w:r>
      <m:oMath>
        <m:r>
          <m:t>ν</m:t>
        </m:r>
        <m:r>
          <m:rPr>
            <m:sty m:val="p"/>
          </m:rPr>
          <m:t>=</m:t>
        </m:r>
        <m:sSup>
          <m:e>
            <m:d>
              <m:dPr>
                <m:begChr m:val="["/>
                <m:endChr m:val="]"/>
                <m:sepChr m:val=""/>
                <m:grow/>
              </m:dPr>
              <m:e>
                <m:r>
                  <m:t>u</m:t>
                </m:r>
                <m:r>
                  <m:rPr>
                    <m:sty m:val="p"/>
                  </m:rPr>
                  <m:t>,</m:t>
                </m:r>
                <m:r>
                  <m:t>v</m:t>
                </m:r>
                <m:r>
                  <m:rPr>
                    <m:sty m:val="p"/>
                  </m:rPr>
                  <m:t>,</m:t>
                </m:r>
                <m:r>
                  <m:t>w</m:t>
                </m:r>
                <m:r>
                  <m:rPr>
                    <m:sty m:val="p"/>
                  </m:rPr>
                  <m:t>,</m:t>
                </m:r>
                <m:r>
                  <m:t>p</m:t>
                </m:r>
                <m:r>
                  <m:rPr>
                    <m:sty m:val="p"/>
                  </m:rPr>
                  <m:t>,</m:t>
                </m:r>
                <m:r>
                  <m:t>q</m:t>
                </m:r>
                <m:r>
                  <m:rPr>
                    <m:sty m:val="p"/>
                  </m:rPr>
                  <m:t>,</m:t>
                </m:r>
                <m:r>
                  <m:t>r</m:t>
                </m:r>
              </m:e>
            </m:d>
          </m:e>
          <m:sup>
            <m:r>
              <m:t>T</m:t>
            </m:r>
          </m:sup>
        </m:sSup>
      </m:oMath>
      <w:r>
        <w:rPr>
          <w:rFonts w:ascii="Times New Roman" w:hAnsi="Times New Roman" w:eastAsia="宋体"/>
          <w:sz w:val="24"/>
        </w:rPr>
        <w:t xml:space="preserve">，运动学满足</w:t>
      </w:r>
      <m:oMath>
        <m:acc>
          <m:accPr>
            <m:chr m:val="̇"/>
          </m:accPr>
          <m:e>
            <m:r>
              <m:t>η</m:t>
            </m:r>
          </m:e>
        </m:acc>
        <m:r>
          <m:rPr>
            <m:sty m:val="p"/>
          </m:rPr>
          <m:t>=</m:t>
        </m:r>
        <m:r>
          <m:t>J</m:t>
        </m:r>
        <m:d>
          <m:dPr>
            <m:begChr m:val="("/>
            <m:endChr m:val=")"/>
            <m:sepChr m:val=""/>
            <m:grow/>
          </m:dPr>
          <m:e>
            <m:r>
              <m:t>η</m:t>
            </m:r>
          </m:e>
        </m:d>
        <m:r>
          <m:t>ν</m:t>
        </m:r>
      </m:oMath>
      <w:r>
        <w:rPr>
          <w:rFonts w:ascii="Times New Roman" w:hAnsi="Times New Roman" w:eastAsia="宋体"/>
          <w:sz w:val="24"/>
        </w:rPr>
        <w:t xml:space="preserve">。</w:t>
      </w:r>
    </w:p>
    <w:p>
      <w:pPr>
        <w:pStyle w:val="PX4正文"/>
        <w:keepNext/>
        <w:widowControl/>
        <w:ind w:firstLine="480"/>
        <w:jc w:val="both"/>
      </w:pPr>
      <w:r>
        <w:t>为了对近三十年来学界在水动力参数获取、未建模动态补偿及数据驱动灰箱融合等技术路线的演进提供统一的评价基准（Benchmark Anchor），以 Fossen[5] 奠定的六自由度非线性动力学标准方程作为参照：</w:t>
      </w:r>
    </w:p>
    <w:p>
      <w:pPr>
        <w:pStyle w:val="PX4公式"/>
        <w:keepLines/>
        <w:widowControl/>
        <w:ind w:firstLine="0"/>
        <w:jc w:val="center"/>
      </w:pPr>
      <m:oMathPara>
        <m:oMathParaPr>
          <m:jc m:val="center"/>
        </m:oMathParaPr>
        <m:oMath>
          <m:r>
            <m:t>M</m:t>
          </m:r>
          <m:acc>
            <m:accPr>
              <m:chr m:val="̇"/>
            </m:accPr>
            <m:e>
              <m:r>
                <m:t>ν</m:t>
              </m:r>
            </m:e>
          </m:acc>
          <m:r>
            <m:rPr>
              <m:sty m:val="p"/>
            </m:rPr>
            <m:t>+</m:t>
          </m:r>
          <m:r>
            <m:t>C</m:t>
          </m:r>
          <m:d>
            <m:dPr>
              <m:begChr m:val="("/>
              <m:endChr m:val=")"/>
              <m:sepChr m:val=""/>
              <m:grow/>
            </m:dPr>
            <m:e>
              <m:r>
                <m:t>ν</m:t>
              </m:r>
            </m:e>
          </m:d>
          <m:r>
            <m:t>ν</m:t>
          </m:r>
          <m:r>
            <m:rPr>
              <m:sty m:val="p"/>
            </m:rPr>
            <m:t>+</m:t>
          </m:r>
          <m:r>
            <m:t>D</m:t>
          </m:r>
          <m:d>
            <m:dPr>
              <m:begChr m:val="("/>
              <m:endChr m:val=")"/>
              <m:sepChr m:val=""/>
              <m:grow/>
            </m:dPr>
            <m:e>
              <m:r>
                <m:t>ν</m:t>
              </m:r>
            </m:e>
          </m:d>
          <m:r>
            <m:t>ν</m:t>
          </m:r>
          <m:r>
            <m:rPr>
              <m:sty m:val="p"/>
            </m:rPr>
            <m:t>+</m:t>
          </m:r>
          <m:r>
            <m:t>g</m:t>
          </m:r>
          <m:d>
            <m:dPr>
              <m:begChr m:val="("/>
              <m:endChr m:val=")"/>
              <m:sepChr m:val=""/>
              <m:grow/>
            </m:dPr>
            <m:e>
              <m:r>
                <m:t>η</m:t>
              </m:r>
            </m:e>
          </m:d>
          <m:r>
            <m:rPr>
              <m:sty m:val="p"/>
            </m:rPr>
            <m:t>=</m:t>
          </m:r>
          <m:r>
            <m:t>τ</m:t>
          </m:r>
        </m:oMath>
      </m:oMathPara>
    </w:p>
    <w:p>
      <w:pPr>
        <w:pStyle w:val="PX4正文"/>
        <w:widowControl/>
        <w:ind w:firstLine="480"/>
        <w:jc w:val="both"/>
      </w:pPr>
      <w:r>
        <w:rPr>
          <w:rFonts w:ascii="Times New Roman" w:hAnsi="Times New Roman" w:eastAsia="宋体"/>
          <w:sz w:val="24"/>
        </w:rPr>
        <w:t xml:space="preserve">式中，</w:t>
      </w:r>
      <m:oMath>
        <m:r>
          <m:t>M</m:t>
        </m:r>
        <m:r>
          <m:rPr>
            <m:sty m:val="p"/>
          </m:rPr>
          <m:t>=</m:t>
        </m:r>
        <m:sSub>
          <m:e>
            <m:r>
              <m:t>M</m:t>
            </m:r>
          </m:e>
          <m:sub>
            <m:r>
              <m:t>R</m:t>
            </m:r>
            <m:r>
              <m:t>B</m:t>
            </m:r>
          </m:sub>
        </m:sSub>
        <m:r>
          <m:rPr>
            <m:sty m:val="p"/>
          </m:rPr>
          <m:t>+</m:t>
        </m:r>
        <m:sSub>
          <m:e>
            <m:r>
              <m:t>M</m:t>
            </m:r>
          </m:e>
          <m:sub>
            <m:r>
              <m:t>A</m:t>
            </m:r>
          </m:sub>
        </m:sSub>
        <m:r>
          <m:rPr>
            <m:sty m:val="p"/>
          </m:rPr>
          <m:t>∈</m:t>
        </m:r>
        <m:sSup>
          <m:e>
            <m:r>
              <m:rPr>
                <m:sty m:val="p"/>
                <m:scr m:val="double-struck"/>
              </m:rPr>
              <m:t>R</m:t>
            </m:r>
          </m:e>
          <m:sup>
            <m:r>
              <m:t>6</m:t>
            </m:r>
            <m:r>
              <m:rPr>
                <m:sty m:val="p"/>
              </m:rPr>
              <m:t>×</m:t>
            </m:r>
            <m:r>
              <m:t>6</m:t>
            </m:r>
          </m:sup>
        </m:sSup>
      </m:oMath>
      <w:r>
        <w:rPr>
          <w:rFonts w:ascii="Times New Roman" w:hAnsi="Times New Roman" w:eastAsia="宋体"/>
          <w:sz w:val="24"/>
        </w:rPr>
        <w:t xml:space="preserve">为刚体惯性矩阵</w:t>
      </w:r>
      <m:oMath>
        <m:sSub>
          <m:e>
            <m:r>
              <m:t>M</m:t>
            </m:r>
          </m:e>
          <m:sub>
            <m:r>
              <m:t>R</m:t>
            </m:r>
            <m:r>
              <m:t>B</m:t>
            </m:r>
          </m:sub>
        </m:sSub>
      </m:oMath>
      <w:r>
        <w:rPr>
          <w:rFonts w:ascii="Times New Roman" w:hAnsi="Times New Roman" w:eastAsia="宋体"/>
          <w:sz w:val="24"/>
        </w:rPr>
        <w:t xml:space="preserve">与流体附加质量矩阵</w:t>
      </w:r>
      <m:oMath>
        <m:sSub>
          <m:e>
            <m:r>
              <m:t>M</m:t>
            </m:r>
          </m:e>
          <m:sub>
            <m:r>
              <m:t>A</m:t>
            </m:r>
          </m:sub>
        </m:sSub>
      </m:oMath>
      <w:r>
        <w:rPr>
          <w:rFonts w:ascii="Times New Roman" w:hAnsi="Times New Roman" w:eastAsia="宋体"/>
          <w:sz w:val="24"/>
        </w:rPr>
        <w:t xml:space="preserve">之和，后者反映航行器加速时周围流体共同运动产生的惯性效应；</w:t>
      </w:r>
      <m:oMath>
        <m:r>
          <m:t>C</m:t>
        </m:r>
        <m:d>
          <m:dPr>
            <m:begChr m:val="("/>
            <m:endChr m:val=")"/>
            <m:sepChr m:val=""/>
            <m:grow/>
          </m:dPr>
          <m:e>
            <m:r>
              <m:t>ν</m:t>
            </m:r>
          </m:e>
        </m:d>
        <m:r>
          <m:rPr>
            <m:sty m:val="p"/>
          </m:rPr>
          <m:t>=</m:t>
        </m:r>
        <m:sSub>
          <m:e>
            <m:r>
              <m:t>C</m:t>
            </m:r>
          </m:e>
          <m:sub>
            <m:r>
              <m:t>R</m:t>
            </m:r>
            <m:r>
              <m:t>B</m:t>
            </m:r>
          </m:sub>
        </m:sSub>
        <m:d>
          <m:dPr>
            <m:begChr m:val="("/>
            <m:endChr m:val=")"/>
            <m:sepChr m:val=""/>
            <m:grow/>
          </m:dPr>
          <m:e>
            <m:r>
              <m:t>ν</m:t>
            </m:r>
          </m:e>
        </m:d>
        <m:r>
          <m:rPr>
            <m:sty m:val="p"/>
          </m:rPr>
          <m:t>+</m:t>
        </m:r>
        <m:sSub>
          <m:e>
            <m:r>
              <m:t>C</m:t>
            </m:r>
          </m:e>
          <m:sub>
            <m:r>
              <m:t>A</m:t>
            </m:r>
          </m:sub>
        </m:sSub>
        <m:d>
          <m:dPr>
            <m:begChr m:val="("/>
            <m:endChr m:val=")"/>
            <m:sepChr m:val=""/>
            <m:grow/>
          </m:dPr>
          <m:e>
            <m:r>
              <m:t>ν</m:t>
            </m:r>
          </m:e>
        </m:d>
      </m:oMath>
      <w:r>
        <w:rPr>
          <w:rFonts w:ascii="Times New Roman" w:hAnsi="Times New Roman" w:eastAsia="宋体"/>
          <w:sz w:val="24"/>
        </w:rPr>
        <w:t xml:space="preserve">为与刚体及附加质量有关的科里奥利—向心矩阵；</w:t>
      </w:r>
      <m:oMath>
        <m:r>
          <m:t>D</m:t>
        </m:r>
        <m:d>
          <m:dPr>
            <m:begChr m:val="("/>
            <m:endChr m:val=")"/>
            <m:sepChr m:val=""/>
            <m:grow/>
          </m:dPr>
          <m:e>
            <m:r>
              <m:t>ν</m:t>
            </m:r>
          </m:e>
        </m:d>
      </m:oMath>
      <w:r>
        <w:rPr>
          <w:rFonts w:ascii="Times New Roman" w:hAnsi="Times New Roman" w:eastAsia="宋体"/>
          <w:sz w:val="24"/>
        </w:rPr>
        <w:t xml:space="preserve">刻画黏性摩擦、涡脱落及线性/二次速度阻尼；</w:t>
      </w:r>
      <m:oMath>
        <m:r>
          <m:t>g</m:t>
        </m:r>
        <m:d>
          <m:dPr>
            <m:begChr m:val="("/>
            <m:endChr m:val=")"/>
            <m:sepChr m:val=""/>
            <m:grow/>
          </m:dPr>
          <m:e>
            <m:r>
              <m:t>η</m:t>
            </m:r>
          </m:e>
        </m:d>
      </m:oMath>
      <w:r>
        <w:rPr>
          <w:rFonts w:ascii="Times New Roman" w:hAnsi="Times New Roman" w:eastAsia="宋体"/>
          <w:sz w:val="24"/>
        </w:rPr>
        <w:t xml:space="preserve">表示重力、浮力及重心—浮心偏置形成的静水恢复力与力矩；</w:t>
      </w:r>
      <m:oMath>
        <m:r>
          <m:t>τ</m:t>
        </m:r>
      </m:oMath>
      <w:r>
        <w:rPr>
          <w:rFonts w:ascii="Times New Roman" w:hAnsi="Times New Roman" w:eastAsia="宋体"/>
          <w:sz w:val="24"/>
        </w:rPr>
        <w:t xml:space="preserve">为六维广义推进力。考虑水流时阻尼通常应使用相对流速</w:t>
      </w:r>
      <m:oMath>
        <m:sSub>
          <m:e>
            <m:r>
              <m:t>ν</m:t>
            </m:r>
          </m:e>
          <m:sub>
            <m:r>
              <m:t>r</m:t>
            </m:r>
          </m:sub>
        </m:sSub>
      </m:oMath>
      <w:r>
        <w:rPr>
          <w:rFonts w:ascii="Times New Roman" w:hAnsi="Times New Roman" w:eastAsia="宋体"/>
          <w:sz w:val="24"/>
        </w:rPr>
        <w:t xml:space="preserve">，外部扰动亦可单独写为</w:t>
      </w:r>
      <m:oMath>
        <m:sSub>
          <m:e>
            <m:r>
              <m:t>τ</m:t>
            </m:r>
          </m:e>
          <m:sub>
            <m:r>
              <m:t>e</m:t>
            </m:r>
            <m:r>
              <m:t>n</m:t>
            </m:r>
            <m:r>
              <m:t>v</m:t>
            </m:r>
          </m:sub>
        </m:sSub>
      </m:oMath>
      <w:r>
        <w:rPr>
          <w:rFonts w:ascii="Times New Roman" w:hAnsi="Times New Roman" w:eastAsia="宋体"/>
          <w:sz w:val="24"/>
        </w:rPr>
        <w:t xml:space="preserve">。这些分量的非对角元素揭示了平动—转动耦合，而非六个独立标量子系统。[3,5]</w:t>
      </w:r>
      <w:r>
        <w:t xml:space="preserve"> 上述标准物理方程虽然确立了六自由度耦合的宏观骨架，但式中反映流体动压效应的附加质量与高阶黏性阻尼项在复杂水流环境下极具不确定性且无法解析获取，导致“理论机理的完备性”与“参数获取的高代价及在线计算的实时性”之间长期存在内在张力。由此，围绕该方程中各项未知水动力特性的辨识、近似与数据补偿，构成了近三十年来水动力建模研究的核心博弈焦点。</w:t>
      </w:r>
    </w:p>
    <w:p>
      <w:pPr>
        <w:pStyle w:val="PX4正文"/>
        <w:widowControl/>
        <w:ind w:firstLine="480"/>
        <w:jc w:val="both"/>
      </w:pPr>
      <w:r>
        <w:t>在构型化建模与基准验证方面，Prestero[7]针对流线型REMUS航行器建立并实验校验了六自由度非线性模型；Caccia等[8]从开架式可变构型ROV的推进器—艇体流体相互作用出发开展集中参数辨识，揭示了推进器安装效应及流体扰动对运动响应的显著影响；Smallwood与Whitcomb[9]以水下动力定位实验验证了模型控制在低速精确定位中的核心价值。近年来，von Benzon等[10]基于Fossen动力学框架构建了BlueROV2开源基准模型，综合考虑水动力、推进器动态、浮重力、海流及系缆作用，为八推进器矢量构型提供了可复现的研究起点。然而，其标称水动力参数仍高度依赖于特定水域、几何附件与配重状态，无法不经辨识直接作为新物理平台的真实模型。</w:t>
      </w:r>
    </w:p>
    <w:p>
      <w:pPr>
        <w:pStyle w:val="PX4正文"/>
        <w:widowControl/>
        <w:ind w:firstLine="480"/>
        <w:jc w:val="both"/>
      </w:pPr>
      <w:r>
        <w:t>针对水动力参数获取，学界形成了计算流体力学（CFD）数值模拟与水池物理试验两条并行的技术路线。高婷等[11]从数值计算角度研究了水下航行器水动力系数，为附加质量与阻尼初值估计提供了参考。CFD 方法可在实体加工前呈现局部流场与受力分布，但其结果对网格雷诺数、湍流封闭模型及近壁边界条件极度敏感，难以支撑实时控制中的在线更新。在试验辨识方面，Chin与Lau[12]通过受控激励试验提取了水下机器人低速水动力阻尼，Ross等[13]利用自由衰减响应辨识了水动力系数，Avila与Adamowski[14]对开架式ROV开展了六自由度耦合参数辨识实验，Harris等[15]进一步提出零空间自适应方法将六自由度被控对象与执行器动力学纳入联合辨识。试验辨识结果虽贴合实际构型，但受水池尺度效应、各自由度激励持久性约束以及传感器测量噪声限制，且螺旋桨水动力干扰等非线性效应难以完全解耦；在近壁狭域与强流扰动工况下，水池标定参数的外推有效域必须单独予以验证。</w:t>
      </w:r>
    </w:p>
    <w:p>
      <w:pPr>
        <w:pStyle w:val="PX4正文"/>
        <w:widowControl/>
        <w:ind w:firstLine="480"/>
        <w:jc w:val="both"/>
      </w:pPr>
      <w:r>
        <w:rPr>
          <w:rFonts w:ascii="Times New Roman" w:hAnsi="Times New Roman" w:eastAsia="宋体"/>
          <w:sz w:val="24"/>
        </w:rPr>
        <w:t xml:space="preserve">数据驱动方法为难以解析的耦合阻尼提供补偿路径。Brunton等[16]提出的SINDy利用候选函数库</w:t>
      </w:r>
      <m:oMath>
        <m:r>
          <m:t>Θ</m:t>
        </m:r>
        <m:d>
          <m:dPr>
            <m:begChr m:val="("/>
            <m:endChr m:val=")"/>
            <m:sepChr m:val=""/>
            <m:grow/>
          </m:dPr>
          <m:e>
            <m:r>
              <m:t>x</m:t>
            </m:r>
          </m:e>
        </m:d>
      </m:oMath>
      <w:r>
        <w:rPr>
          <w:rFonts w:ascii="Times New Roman" w:hAnsi="Times New Roman" w:eastAsia="宋体"/>
          <w:sz w:val="24"/>
        </w:rPr>
        <w:t xml:space="preserve">与稀疏系数</w:t>
      </w:r>
      <m:oMath>
        <m:r>
          <m:t>Ξ</m:t>
        </m:r>
      </m:oMath>
      <w:r>
        <w:rPr>
          <w:rFonts w:ascii="Times New Roman" w:hAnsi="Times New Roman" w:eastAsia="宋体"/>
          <w:sz w:val="24"/>
        </w:rPr>
        <w:t xml:space="preserve">识别</w:t>
      </w:r>
      <m:oMath>
        <m:acc>
          <m:accPr>
            <m:chr m:val="̇"/>
          </m:accPr>
          <m:e>
            <m:r>
              <m:t>x</m:t>
            </m:r>
          </m:e>
        </m:acc>
        <m:r>
          <m:rPr>
            <m:sty m:val="p"/>
          </m:rPr>
          <m:t>≈</m:t>
        </m:r>
        <m:r>
          <m:t>Θ</m:t>
        </m:r>
        <m:d>
          <m:dPr>
            <m:begChr m:val="("/>
            <m:endChr m:val=")"/>
            <m:sepChr m:val=""/>
            <m:grow/>
          </m:dPr>
          <m:e>
            <m:r>
              <m:t>x</m:t>
            </m:r>
          </m:e>
        </m:d>
        <m:r>
          <m:t>Ξ</m:t>
        </m:r>
      </m:oMath>
      <w:r>
        <w:rPr>
          <w:rFonts w:ascii="Times New Roman" w:hAnsi="Times New Roman" w:eastAsia="宋体"/>
          <w:sz w:val="24"/>
        </w:rPr>
        <w:t xml:space="preserve">：若在函数库中嵌入</w:t>
      </w:r>
      <m:oMath>
        <m:r>
          <m:t>u</m:t>
        </m:r>
        <m:r>
          <m:rPr>
            <m:sty m:val="p"/>
          </m:rPr>
          <m:t>,</m:t>
        </m:r>
        <m:d>
          <m:dPr>
            <m:begChr m:val="|"/>
            <m:endChr m:val="|"/>
            <m:sepChr m:val=""/>
            <m:grow/>
          </m:dPr>
          <m:e>
            <m:r>
              <m:t>u</m:t>
            </m:r>
          </m:e>
        </m:d>
        <m:r>
          <m:t>u</m:t>
        </m:r>
        <m:r>
          <m:rPr>
            <m:sty m:val="p"/>
          </m:rPr>
          <m:t>,</m:t>
        </m:r>
        <m:r>
          <m:t>u</m:t>
        </m:r>
        <m:r>
          <m:t>v</m:t>
        </m:r>
      </m:oMath>
      <w:r>
        <w:rPr>
          <w:rFonts w:ascii="Times New Roman" w:hAnsi="Times New Roman" w:eastAsia="宋体"/>
          <w:sz w:val="24"/>
        </w:rPr>
        <w:t xml:space="preserve">等项，可与Fossen模型的线性、二次及交叉阻尼结构对齐，从而避免毫无物理依据的高维拟合。其关键代价是状态微分噪声放大、候选项共线性与低激励条件下的错误稀疏选择；因此，稀疏并不自动等于真实机理，仍须以独立工况的多步预测误差检验。</w:t>
      </w:r>
      <w:r>
        <w:t xml:space="preserve"> 特别是当欠激励或处于强耦合运动时，候选项共线性极易诱发错误的稀疏特征选择；因此，数学层面的稀疏回归并不自动等同于物理层面的真实流体机理，模型仍须接受独立工况下的长时域多步预测误差检验。</w:t>
      </w:r>
    </w:p>
    <w:p>
      <w:pPr>
        <w:pStyle w:val="PX4正文"/>
        <w:widowControl/>
        <w:ind w:firstLine="480"/>
        <w:jc w:val="both"/>
      </w:pPr>
      <w:r>
        <w:rPr>
          <w:rFonts w:ascii="Times New Roman" w:hAnsi="Times New Roman" w:eastAsia="宋体"/>
          <w:sz w:val="24"/>
        </w:rPr>
        <w:t xml:space="preserve">Raissi等[17]提出的物理信息神经网络（PINN）将动力学残差、初边值条件等纳入损失函数，能够在样本较少时利用质量守恒、受力平衡等物理先验约束参数反演；但残差惩罚通常是软约束，不能保证电机推力上下限等硬不等式严格满足，仍需在控制/分配层配置可行域投影或显式约束。Chen等[18]提出的Neural ODE则以</w:t>
      </w:r>
      <m:oMath>
        <m:acc>
          <m:accPr>
            <m:chr m:val="̇"/>
          </m:accPr>
          <m:e>
            <m:r>
              <m:t>x</m:t>
            </m:r>
          </m:e>
        </m:acc>
        <m:r>
          <m:rPr>
            <m:sty m:val="p"/>
          </m:rPr>
          <m:t>=</m:t>
        </m:r>
        <m:sSub>
          <m:e>
            <m:r>
              <m:t>f</m:t>
            </m:r>
          </m:e>
          <m:sub>
            <m:r>
              <m:t>θ</m:t>
            </m:r>
          </m:sub>
        </m:sSub>
        <m:d>
          <m:dPr>
            <m:begChr m:val="("/>
            <m:endChr m:val=")"/>
            <m:sepChr m:val=""/>
            <m:grow/>
          </m:dPr>
          <m:e>
            <m:r>
              <m:t>x</m:t>
            </m:r>
            <m:r>
              <m:rPr>
                <m:sty m:val="p"/>
              </m:rPr>
              <m:t>,</m:t>
            </m:r>
            <m:r>
              <m:t>u</m:t>
            </m:r>
            <m:r>
              <m:rPr>
                <m:sty m:val="p"/>
              </m:rPr>
              <m:t>,</m:t>
            </m:r>
            <m:r>
              <m:t>t</m:t>
            </m:r>
          </m:e>
        </m:d>
      </m:oMath>
      <w:r>
        <w:rPr>
          <w:rFonts w:ascii="Times New Roman" w:hAnsi="Times New Roman" w:eastAsia="宋体"/>
          <w:sz w:val="24"/>
        </w:rPr>
        <w:t xml:space="preserve">连续积分拟合动力学，适合多传感器异步、非等间隔采样；然而，数值积分容差、零阶保持输入与报文传输时延若未同步建模，多步滚动预测会产生累积相位误差，且实时求解成本取决于积分步数而非仅网络参数量。</w:t>
      </w:r>
      <w:r>
        <w:t xml:space="preserve"> 此外，PINN 的物理守恒残差惩罚与推力饱和硬约束之间存在梯度权重冲突，超参数敏感度高；Neural ODE 数值积分器的局部容差误差在多步滚动预测中呈指数累积，且其自适应积分步长带来的计算时延波动，对嵌入式硬实时控制回路构成了严峻挑战。</w:t>
      </w:r>
    </w:p>
    <w:p>
      <w:pPr>
        <w:pStyle w:val="PX4正文"/>
        <w:widowControl/>
        <w:ind w:firstLine="480"/>
        <w:jc w:val="both"/>
      </w:pPr>
      <w:r>
        <w:t>在仿真到现实（Sim2Real）迁移方面，Liu等[19]通过Koopman算子框架研究了水下航行器水动力在线辨识与模型更新，证明了仿真先验与实测稀疏数据修正的互补价值。综合上述技术脉络可知：纯机理模型物理可解释性强、在线计算代价低，但在高阶流体阻尼上存在欠建模误差；纯数据驱动模型具备局部高精度拟合能力，却受制于训练数据覆盖域与外推失稳风险；以机理动力学为刚性骨架、叠加物理约束数据驱动项的“灰箱建模”，在物理先验约束、预测精度与嵌入式算力消耗之间达成了更合理的控制导向平衡，代表了水下航行器动力学建模的主要演进方向。</w:t>
      </w:r>
    </w:p>
    <w:bookmarkEnd w:id="21"/>
    <w:bookmarkStart w:id="22" w:name="多推进器受约束运动控制与推力分配研究现状"/>
    <w:p>
      <w:pPr>
        <w:pStyle w:val="PX4三级标题"/>
        <w:widowControl/>
        <w:ind w:firstLine="0"/>
        <w:jc w:val="left"/>
      </w:pPr>
      <w:r>
        <w:rPr>
          <w:rFonts w:ascii="Times New Roman" w:hAnsi="Times New Roman" w:eastAsia="黑体"/>
          <w:sz w:val="24"/>
        </w:rPr>
        <w:t xml:space="preserve">2.2 多推进器受约束运动控制与推力分配研究现状</w:t>
      </w:r>
    </w:p>
    <w:p>
      <w:pPr>
        <w:pStyle w:val="PX4正文"/>
        <w:widowControl/>
        <w:ind w:firstLine="480"/>
        <w:jc w:val="both"/>
      </w:pPr>
      <w:r>
        <w:t>八推进器空间矢量布局使 BlueROV2 Heavy 等全向航行器能够在满足几何满秩条件时实现六自由度独立解耦运动。然而，六维广义运动指令与八路独立推进器之间，同时存在冗余执行机构多解性、电机正反向推力不对称、推力变化率受限及流体动力响应迟滞等多重物理非线性。控制系统的核心难点，已从传统的单轴误差衰减演变为“多变量运动预测—物理约束可行性—冗余推力执行分配”的联立协同问题。</w:t>
      </w:r>
    </w:p>
    <w:p>
      <w:pPr>
        <w:pStyle w:val="PX4正文"/>
        <w:widowControl/>
        <w:ind w:firstLine="480"/>
        <w:jc w:val="both"/>
      </w:pPr>
      <w:r>
        <w:t>在经典反馈与鲁棒运动控制方面，Yuh[20]系统综述了水下机器人经典反馈与智能控制技术，朱大奇和孙兵[21]进一步梳理了 PID、鲁棒滑模与自适应控制在水下系统中的演进。PID 控制因算法紧凑、无需复杂动力学矩阵且便于嵌入式实时部署，至今仍是商业 ROV 深度与姿态自稳的核心基石；但多通道独立 PID 无法从原理上解耦六自由度间强烈的附加质量与阻尼动压耦合。针对模型不确定性与流场扰动，Yoerger与Slotine[22]、Healey与Lienard[23]分别设计了滑模及多变量滑模控制器，利用切换面获得对参数摄动的结构鲁棒性；Chu等[24]进一步将推进器动力学与输入饱和纳入自适应轨迹跟踪框架。此类方法处理执行器约束时主要依赖抗积分饱和（Anti-windup）或事后截断机制，在多轴指令同时逼近物理极限时，难以在控制决策层面主动判定并协调多执行器的联合约束可行域。</w:t>
      </w:r>
    </w:p>
    <w:p>
      <w:pPr>
        <w:pStyle w:val="PX4正文"/>
        <w:widowControl/>
        <w:ind w:firstLine="480"/>
        <w:jc w:val="both"/>
      </w:pPr>
      <w:r>
        <w:rPr>
          <w:rFonts w:ascii="Times New Roman" w:hAnsi="Times New Roman" w:eastAsia="宋体"/>
          <w:sz w:val="24"/>
        </w:rPr>
        <w:t xml:space="preserve">模型预测控制（MPC）以离散预测模型</w:t>
      </w:r>
      <m:oMath>
        <m:sSub>
          <m:e>
            <m:r>
              <m:t>x</m:t>
            </m:r>
          </m:e>
          <m:sub>
            <m:r>
              <m:t>k</m:t>
            </m:r>
            <m:r>
              <m:rPr>
                <m:sty m:val="p"/>
              </m:rPr>
              <m:t>+</m:t>
            </m:r>
            <m:r>
              <m:t>1</m:t>
            </m:r>
          </m:sub>
        </m:sSub>
        <m:r>
          <m:rPr>
            <m:sty m:val="p"/>
          </m:rPr>
          <m:t>=</m:t>
        </m:r>
        <m:sSub>
          <m:e>
            <m:r>
              <m:t>f</m:t>
            </m:r>
          </m:e>
          <m:sub>
            <m:r>
              <m:t>d</m:t>
            </m:r>
          </m:sub>
        </m:sSub>
        <m:d>
          <m:dPr>
            <m:begChr m:val="("/>
            <m:endChr m:val=")"/>
            <m:sepChr m:val=""/>
            <m:grow/>
          </m:dPr>
          <m:e>
            <m:sSub>
              <m:e>
                <m:r>
                  <m:t>x</m:t>
                </m:r>
              </m:e>
              <m:sub>
                <m:r>
                  <m:t>k</m:t>
                </m:r>
              </m:sub>
            </m:sSub>
            <m:r>
              <m:rPr>
                <m:sty m:val="p"/>
              </m:rPr>
              <m:t>,</m:t>
            </m:r>
            <m:sSub>
              <m:e>
                <m:r>
                  <m:t>τ</m:t>
                </m:r>
              </m:e>
              <m:sub>
                <m:r>
                  <m:t>k</m:t>
                </m:r>
              </m:sub>
            </m:sSub>
          </m:e>
        </m:d>
      </m:oMath>
      <w:r>
        <w:rPr>
          <w:rFonts w:ascii="Times New Roman" w:hAnsi="Times New Roman" w:eastAsia="宋体"/>
          <w:sz w:val="24"/>
        </w:rPr>
        <w:t xml:space="preserve">滚动最小化跟踪误差与控制变化，并显式约束速度、广义力和执行器。张磊等[25]梳理了水下MPC研究，Heshmati-Alamdari等[26,27]从受限空间和不确定环境中的鲁棒预测控制出发，体现其处理多变量耦合与安全边界的潜力。局部线性化MPC可转化为计算结构明确的QP，却受工况偏离与模型更新频率限制；非线性MPC（NMPC）能保留完整非线性和几何约束，但优化非凸、求解时间更易波动。实际选型必须以预测误差、约束违例率和最坏求解耗时共同评价，而不能仅比较理想仿真下的轨迹误差。</w:t>
      </w:r>
    </w:p>
    <w:p>
      <w:pPr>
        <w:pStyle w:val="PX4正文"/>
        <w:widowControl/>
        <w:ind w:firstLine="480"/>
        <w:jc w:val="both"/>
      </w:pPr>
      <w:r>
        <w:rPr>
          <w:rFonts w:ascii="Times New Roman" w:hAnsi="Times New Roman" w:eastAsia="宋体"/>
          <w:sz w:val="24"/>
        </w:rPr>
        <w:t xml:space="preserve">对控制分配，设单推进器推力向量</w:t>
      </w:r>
      <m:oMath>
        <m:r>
          <m:t>u</m:t>
        </m:r>
        <m:r>
          <m:rPr>
            <m:sty m:val="p"/>
          </m:rPr>
          <m:t>∈</m:t>
        </m:r>
        <m:sSup>
          <m:e>
            <m:r>
              <m:rPr>
                <m:sty m:val="p"/>
                <m:scr m:val="double-struck"/>
              </m:rPr>
              <m:t>R</m:t>
            </m:r>
          </m:e>
          <m:sup>
            <m:r>
              <m:t>n</m:t>
            </m:r>
          </m:sup>
        </m:sSup>
      </m:oMath>
      <w:r>
        <w:rPr>
          <w:rFonts w:ascii="Times New Roman" w:hAnsi="Times New Roman" w:eastAsia="宋体"/>
          <w:sz w:val="24"/>
        </w:rPr>
        <w:t xml:space="preserve">、配置矩阵</w:t>
      </w:r>
      <m:oMath>
        <m:r>
          <m:t>B</m:t>
        </m:r>
        <m:r>
          <m:rPr>
            <m:sty m:val="p"/>
          </m:rPr>
          <m:t>∈</m:t>
        </m:r>
        <m:sSup>
          <m:e>
            <m:r>
              <m:rPr>
                <m:sty m:val="p"/>
                <m:scr m:val="double-struck"/>
              </m:rPr>
              <m:t>R</m:t>
            </m:r>
          </m:e>
          <m:sup>
            <m:r>
              <m:t>m</m:t>
            </m:r>
            <m:r>
              <m:rPr>
                <m:sty m:val="p"/>
              </m:rPr>
              <m:t>×</m:t>
            </m:r>
            <m:r>
              <m:t>n</m:t>
            </m:r>
          </m:sup>
        </m:sSup>
      </m:oMath>
      <w:r>
        <w:rPr>
          <w:rFonts w:ascii="Times New Roman" w:hAnsi="Times New Roman" w:eastAsia="宋体"/>
          <w:sz w:val="24"/>
        </w:rPr>
        <w:t xml:space="preserve">，广义力满足</w:t>
      </w:r>
      <m:oMath>
        <m:r>
          <m:t>τ</m:t>
        </m:r>
        <m:r>
          <m:rPr>
            <m:sty m:val="p"/>
          </m:rPr>
          <m:t>=</m:t>
        </m:r>
        <m:r>
          <m:t>B</m:t>
        </m:r>
        <m:r>
          <m:t>u</m:t>
        </m:r>
      </m:oMath>
      <w:r>
        <w:rPr>
          <w:rFonts w:ascii="Times New Roman" w:hAnsi="Times New Roman" w:eastAsia="宋体"/>
          <w:sz w:val="24"/>
        </w:rPr>
        <w:t xml:space="preserve">；BlueROV2 Heavy取</w:t>
      </w:r>
      <m:oMath>
        <m:r>
          <m:t>m</m:t>
        </m:r>
        <m:r>
          <m:rPr>
            <m:sty m:val="p"/>
          </m:rPr>
          <m:t>=</m:t>
        </m:r>
        <m:r>
          <m:t>6</m:t>
        </m:r>
        <m:r>
          <m:rPr>
            <m:sty m:val="p"/>
          </m:rPr>
          <m:t>,</m:t>
        </m:r>
        <m:r>
          <m:t>n</m:t>
        </m:r>
        <m:r>
          <m:rPr>
            <m:sty m:val="p"/>
          </m:rPr>
          <m:t>=</m:t>
        </m:r>
        <m:r>
          <m:t>8</m:t>
        </m:r>
      </m:oMath>
      <w:r>
        <w:rPr>
          <w:rFonts w:ascii="Times New Roman" w:hAnsi="Times New Roman" w:eastAsia="宋体"/>
          <w:sz w:val="24"/>
        </w:rPr>
        <w:t xml:space="preserve">，且理想完整构型需满足</w:t>
      </w:r>
      <m:oMath>
        <m:r>
          <m:rPr>
            <m:sty m:val="p"/>
          </m:rPr>
          <m:t>rank</m:t>
        </m:r>
        <m:d>
          <m:dPr>
            <m:begChr m:val="("/>
            <m:endChr m:val=")"/>
            <m:sepChr m:val=""/>
            <m:grow/>
          </m:dPr>
          <m:e>
            <m:r>
              <m:t>B</m:t>
            </m:r>
          </m:e>
        </m:d>
        <m:r>
          <m:rPr>
            <m:sty m:val="p"/>
          </m:rPr>
          <m:t>=</m:t>
        </m:r>
        <m:r>
          <m:t>m</m:t>
        </m:r>
      </m:oMath>
      <w:r>
        <w:rPr>
          <w:rFonts w:ascii="Times New Roman" w:hAnsi="Times New Roman" w:eastAsia="宋体"/>
          <w:sz w:val="24"/>
        </w:rPr>
        <w:t xml:space="preserve">。在不考虑不等式约束的最小二范数问题</w:t>
      </w:r>
      <m:oMath>
        <m:sSub>
          <m:e>
            <m:r>
              <m:rPr>
                <m:sty m:val="p"/>
              </m:rPr>
              <m:t>min</m:t>
            </m:r>
          </m:e>
          <m:sub>
            <m:r>
              <m:t>u</m:t>
            </m:r>
          </m:sub>
        </m:sSub>
        <m:r>
          <m:rPr>
            <m:sty m:val="p"/>
          </m:rPr>
          <m:t>∥</m:t>
        </m:r>
        <m:r>
          <m:t>u</m:t>
        </m:r>
        <m:sSubSup>
          <m:e>
            <m:r>
              <m:rPr>
                <m:sty m:val="p"/>
              </m:rPr>
              <m:t>∥</m:t>
            </m:r>
          </m:e>
          <m:sub>
            <m:r>
              <m:t>2</m:t>
            </m:r>
          </m:sub>
          <m:sup>
            <m:r>
              <m:t>2</m:t>
            </m:r>
          </m:sup>
        </m:sSubSup>
        <m:r>
          <m:rPr>
            <m:sty m:val="p"/>
          </m:rPr>
          <m:t>/</m:t>
        </m:r>
        <m:r>
          <m:t>2</m:t>
        </m:r>
      </m:oMath>
      <w:r>
        <w:rPr>
          <w:rFonts w:ascii="Times New Roman" w:hAnsi="Times New Roman" w:eastAsia="宋体"/>
          <w:sz w:val="24"/>
        </w:rPr>
        <w:t xml:space="preserve">、</w:t>
      </w:r>
      <m:oMath>
        <m:r>
          <m:t>B</m:t>
        </m:r>
        <m:r>
          <m:t>u</m:t>
        </m:r>
        <m:r>
          <m:rPr>
            <m:sty m:val="p"/>
          </m:rPr>
          <m:t>=</m:t>
        </m:r>
        <m:sSub>
          <m:e>
            <m:r>
              <m:t>τ</m:t>
            </m:r>
          </m:e>
          <m:sub>
            <m:r>
              <m:t>d</m:t>
            </m:r>
          </m:sub>
        </m:sSub>
      </m:oMath>
      <w:r>
        <w:rPr>
          <w:rFonts w:ascii="Times New Roman" w:hAnsi="Times New Roman" w:eastAsia="宋体"/>
          <w:sz w:val="24"/>
        </w:rPr>
        <w:t xml:space="preserve">中，拉格朗日驻值条件给出</w:t>
      </w:r>
      <m:oMath>
        <m:r>
          <m:t>u</m:t>
        </m:r>
        <m:r>
          <m:rPr>
            <m:sty m:val="p"/>
          </m:rPr>
          <m:t>=</m:t>
        </m:r>
        <m:sSup>
          <m:e>
            <m:r>
              <m:t>B</m:t>
            </m:r>
          </m:e>
          <m:sup>
            <m:r>
              <m:t>T</m:t>
            </m:r>
          </m:sup>
        </m:sSup>
        <m:r>
          <m:t>λ</m:t>
        </m:r>
      </m:oMath>
      <w:r>
        <w:rPr>
          <w:rFonts w:ascii="Times New Roman" w:hAnsi="Times New Roman" w:eastAsia="宋体"/>
          <w:sz w:val="24"/>
        </w:rPr>
        <w:t xml:space="preserve">及</w:t>
      </w:r>
      <m:oMath>
        <m:r>
          <m:t>B</m:t>
        </m:r>
        <m:sSup>
          <m:e>
            <m:r>
              <m:t>B</m:t>
            </m:r>
          </m:e>
          <m:sup>
            <m:r>
              <m:t>T</m:t>
            </m:r>
          </m:sup>
        </m:sSup>
        <m:r>
          <m:t>λ</m:t>
        </m:r>
        <m:r>
          <m:rPr>
            <m:sty m:val="p"/>
          </m:rPr>
          <m:t>=</m:t>
        </m:r>
        <m:sSub>
          <m:e>
            <m:r>
              <m:t>τ</m:t>
            </m:r>
          </m:e>
          <m:sub>
            <m:r>
              <m:t>d</m:t>
            </m:r>
          </m:sub>
        </m:sSub>
      </m:oMath>
      <w:r>
        <w:rPr>
          <w:rFonts w:ascii="Times New Roman" w:hAnsi="Times New Roman" w:eastAsia="宋体"/>
          <w:sz w:val="24"/>
        </w:rPr>
        <w:t xml:space="preserve">，由此得到Moore–Penrose伪逆解析解[28]：</w:t>
      </w:r>
    </w:p>
    <w:p>
      <w:pPr>
        <w:pStyle w:val="PX4公式"/>
        <w:keepLines/>
        <w:widowControl/>
        <w:ind w:firstLine="0"/>
        <w:jc w:val="center"/>
      </w:pPr>
      <m:oMathPara>
        <m:oMath>
          <m:r>
            <m:rPr>
              <m:sty m:val="p"/>
            </m:rPr>
            <m:t>u = B⁺τ_d = Bᵀ(BBᵀ)⁻¹τ_d</m:t>
          </m:r>
        </m:oMath>
      </m:oMathPara>
    </w:p>
    <w:p>
      <w:pPr>
        <w:pStyle w:val="PX4正文"/>
        <w:widowControl/>
        <w:ind w:firstLine="480"/>
        <w:jc w:val="both"/>
      </w:pPr>
      <w:r>
        <w:rPr>
          <w:rFonts w:ascii="Times New Roman" w:hAnsi="Times New Roman" w:eastAsia="宋体"/>
          <w:sz w:val="24"/>
        </w:rPr>
        <w:t xml:space="preserve">从算法成本看，通用密集型伪逆/SVD实现可按</w:t>
      </w:r>
      <m:oMath>
        <m:r>
          <m:t>O</m:t>
        </m:r>
        <m:d>
          <m:dPr>
            <m:begChr m:val="("/>
            <m:endChr m:val=")"/>
            <m:sepChr m:val=""/>
            <m:grow/>
          </m:dPr>
          <m:e>
            <m:sSup>
              <m:e>
                <m:r>
                  <m:t>n</m:t>
                </m:r>
              </m:e>
              <m:sup>
                <m:r>
                  <m:t>2</m:t>
                </m:r>
              </m:sup>
            </m:sSup>
            <m:r>
              <m:t>m</m:t>
            </m:r>
          </m:e>
        </m:d>
      </m:oMath>
      <w:r>
        <w:rPr>
          <w:rFonts w:ascii="Times New Roman" w:hAnsi="Times New Roman" w:eastAsia="宋体"/>
          <w:sz w:val="24"/>
        </w:rPr>
        <w:t xml:space="preserve">量级估算；但对于满行秩的</w:t>
      </w:r>
      <m:oMath>
        <m:r>
          <m:t>m</m:t>
        </m:r>
        <m:r>
          <m:rPr>
            <m:sty m:val="p"/>
          </m:rPr>
          <m:t>×</m:t>
        </m:r>
        <m:r>
          <m:t>n</m:t>
        </m:r>
      </m:oMath>
      <w:r>
        <w:rPr>
          <w:rFonts w:ascii="Times New Roman" w:hAnsi="Times New Roman" w:eastAsia="宋体"/>
          <w:sz w:val="24"/>
        </w:rPr>
        <w:t xml:space="preserve">矩阵，直接构造</w:t>
      </w:r>
      <m:oMath>
        <m:r>
          <m:t>B</m:t>
        </m:r>
        <m:sSup>
          <m:e>
            <m:r>
              <m:t>B</m:t>
            </m:r>
          </m:e>
          <m:sup>
            <m:r>
              <m:t>T</m:t>
            </m:r>
          </m:sup>
        </m:sSup>
      </m:oMath>
      <w:r>
        <w:rPr>
          <w:rFonts w:ascii="Times New Roman" w:hAnsi="Times New Roman" w:eastAsia="宋体"/>
          <w:sz w:val="24"/>
        </w:rPr>
        <w:t xml:space="preserve">并分解的成本通常为</w:t>
      </w:r>
      <m:oMath>
        <m:r>
          <m:t>O</m:t>
        </m:r>
        <m:d>
          <m:dPr>
            <m:begChr m:val="("/>
            <m:endChr m:val=")"/>
            <m:sepChr m:val=""/>
            <m:grow/>
          </m:dPr>
          <m:e>
            <m:r>
              <m:t>n</m:t>
            </m:r>
            <m:sSup>
              <m:e>
                <m:r>
                  <m:t>m</m:t>
                </m:r>
              </m:e>
              <m:sup>
                <m:r>
                  <m:t>2</m:t>
                </m:r>
              </m:sup>
            </m:sSup>
            <m:r>
              <m:rPr>
                <m:sty m:val="p"/>
              </m:rPr>
              <m:t>+</m:t>
            </m:r>
            <m:sSup>
              <m:e>
                <m:r>
                  <m:t>m</m:t>
                </m:r>
              </m:e>
              <m:sup>
                <m:r>
                  <m:t>3</m:t>
                </m:r>
              </m:sup>
            </m:sSup>
          </m:e>
        </m:d>
      </m:oMath>
      <w:r>
        <w:rPr>
          <w:rFonts w:ascii="Times New Roman" w:hAnsi="Times New Roman" w:eastAsia="宋体"/>
          <w:sz w:val="24"/>
        </w:rPr>
        <w:t xml:space="preserve">，若构型固定还可预计算B⁺，运行时仅需矩阵—向量乘法。因而</w:t>
      </w:r>
      <m:oMath>
        <m:r>
          <m:t>O</m:t>
        </m:r>
        <m:d>
          <m:dPr>
            <m:begChr m:val="("/>
            <m:endChr m:val=")"/>
            <m:sepChr m:val=""/>
            <m:grow/>
          </m:dPr>
          <m:e>
            <m:sSup>
              <m:e>
                <m:r>
                  <m:t>n</m:t>
                </m:r>
              </m:e>
              <m:sup>
                <m:r>
                  <m:t>2</m:t>
                </m:r>
              </m:sup>
            </m:sSup>
            <m:r>
              <m:t>m</m:t>
            </m:r>
          </m:e>
        </m:d>
      </m:oMath>
      <w:r>
        <w:rPr>
          <w:rFonts w:ascii="Times New Roman" w:hAnsi="Times New Roman" w:eastAsia="宋体"/>
          <w:sz w:val="24"/>
        </w:rPr>
        <w:t xml:space="preserve">不应误用为该解析式每一控制周期的必需运算量。伪逆无法保证</w:t>
      </w:r>
      <m:oMath>
        <m:sSub>
          <m:e>
            <m:r>
              <m:t>u</m:t>
            </m:r>
          </m:e>
          <m:sub>
            <m:r>
              <m:t>m</m:t>
            </m:r>
            <m:r>
              <m:t>i</m:t>
            </m:r>
            <m:r>
              <m:t>n</m:t>
            </m:r>
          </m:sub>
        </m:sSub>
        <m:r>
          <m:rPr>
            <m:sty m:val="p"/>
          </m:rPr>
          <m:t>≤</m:t>
        </m:r>
        <m:r>
          <m:t>u</m:t>
        </m:r>
        <m:r>
          <m:rPr>
            <m:sty m:val="p"/>
          </m:rPr>
          <m:t>≤</m:t>
        </m:r>
        <m:sSub>
          <m:e>
            <m:r>
              <m:t>u</m:t>
            </m:r>
          </m:e>
          <m:sub>
            <m:r>
              <m:t>m</m:t>
            </m:r>
            <m:r>
              <m:t>a</m:t>
            </m:r>
            <m:r>
              <m:t>x</m:t>
            </m:r>
          </m:sub>
        </m:sSub>
      </m:oMath>
      <w:r>
        <w:rPr>
          <w:rFonts w:ascii="Times New Roman" w:hAnsi="Times New Roman" w:eastAsia="宋体"/>
          <w:sz w:val="24"/>
        </w:rPr>
        <w:t xml:space="preserve">，分配后逐路限幅使实际</w:t>
      </w:r>
      <m:oMath>
        <m:r>
          <m:t>B</m:t>
        </m:r>
        <m:r>
          <m:t>u</m:t>
        </m:r>
      </m:oMath>
      <w:r>
        <w:rPr>
          <w:rFonts w:ascii="Times New Roman" w:hAnsi="Times New Roman" w:eastAsia="宋体"/>
          <w:sz w:val="24"/>
        </w:rPr>
        <w:t xml:space="preserve">偏离</w:t>
      </w:r>
      <m:oMath>
        <m:sSub>
          <m:e>
            <m:r>
              <m:t>τ</m:t>
            </m:r>
          </m:e>
          <m:sub>
            <m:r>
              <m:t>d</m:t>
            </m:r>
          </m:sub>
        </m:sSub>
      </m:oMath>
      <w:r>
        <w:rPr>
          <w:rFonts w:ascii="Times New Roman" w:hAnsi="Times New Roman" w:eastAsia="宋体"/>
          <w:sz w:val="24"/>
        </w:rPr>
        <w:t xml:space="preserve">，甚至改变六维合力/力矩的方向。</w:t>
      </w:r>
      <w:r>
        <w:t xml:space="preserve"> 尤其当推进器饱和时，伪逆方案的事后截断限幅将彻底破坏空间多轴投影平衡，导致航行器实际承受的六维合力与力矩方向发生严重系统性畸变，破坏了上层控制器的闭环稳定性。</w:t>
      </w:r>
    </w:p>
    <w:p>
      <w:pPr>
        <w:pStyle w:val="PX4正文"/>
        <w:widowControl/>
        <w:ind w:firstLine="480"/>
        <w:jc w:val="both"/>
      </w:pPr>
      <w:r>
        <w:t>为了将执行器物理极限定位为前置硬约束，Johansen与Fossen[28]、Bodson[29]以及Härkegård[30]系统奠定了受约束控制分配的优化理论框架，并提出了针对二次规划（QP）的高效有效集（Active Set）求解算法；国内学者程卫平等[31]研究了基于可行方向法的水下机器人推力分配，孙功武等[32]针对复杂推进构型提出了多级优化分配策略，Li等[33]则从推进器故障容错与控制重构角度提升了冗余执行机构的可靠性。一个面向固定矢量推进器的标准凸二次规划推力分配问题可表述为：</w:t>
      </w:r>
    </w:p>
    <w:p>
      <w:pPr>
        <w:pStyle w:val="PX4公式"/>
        <w:keepLines/>
        <w:widowControl/>
        <w:ind w:firstLine="0"/>
        <w:jc w:val="center"/>
      </w:pPr>
      <m:oMathPara>
        <m:oMathParaPr>
          <m:jc m:val="center"/>
        </m:oMathParaPr>
        <m:oMath>
          <m:limLow>
            <m:e>
              <m:r>
                <m:rPr>
                  <m:sty m:val="p"/>
                </m:rPr>
                <m:t>min</m:t>
              </m:r>
            </m:e>
            <m:lim>
              <m:r>
                <m:t>u</m:t>
              </m:r>
            </m:lim>
          </m:limLow>
          <m:r>
            <m:t> </m:t>
          </m:r>
          <m:f>
            <m:fPr>
              <m:type m:val="bar"/>
            </m:fPr>
            <m:num>
              <m:r>
                <m:t>1</m:t>
              </m:r>
            </m:num>
            <m:den>
              <m:r>
                <m:t>2</m:t>
              </m:r>
            </m:den>
          </m:f>
          <m:r>
            <m:rPr>
              <m:sty m:val="p"/>
            </m:rPr>
            <m:t>∥</m:t>
          </m:r>
          <m:sSub>
            <m:e>
              <m:r>
                <m:t>W</m:t>
              </m:r>
            </m:e>
            <m:sub>
              <m:r>
                <m:t>τ</m:t>
              </m:r>
            </m:sub>
          </m:sSub>
          <m:d>
            <m:dPr>
              <m:begChr m:val="("/>
              <m:endChr m:val=")"/>
              <m:sepChr m:val=""/>
              <m:grow/>
            </m:dPr>
            <m:e>
              <m:r>
                <m:t>B</m:t>
              </m:r>
              <m:r>
                <m:t>u</m:t>
              </m:r>
              <m:r>
                <m:rPr>
                  <m:sty m:val="p"/>
                </m:rPr>
                <m:t>−</m:t>
              </m:r>
              <m:sSub>
                <m:e>
                  <m:r>
                    <m:t>τ</m:t>
                  </m:r>
                </m:e>
                <m:sub>
                  <m:r>
                    <m:t>d</m:t>
                  </m:r>
                </m:sub>
              </m:sSub>
            </m:e>
          </m:d>
          <m:sSubSup>
            <m:e>
              <m:r>
                <m:rPr>
                  <m:sty m:val="p"/>
                </m:rPr>
                <m:t>∥</m:t>
              </m:r>
            </m:e>
            <m:sub>
              <m:r>
                <m:t>2</m:t>
              </m:r>
            </m:sub>
            <m:sup>
              <m:r>
                <m:t>2</m:t>
              </m:r>
            </m:sup>
          </m:sSubSup>
          <m:r>
            <m:rPr>
              <m:sty m:val="p"/>
            </m:rPr>
            <m:t>+</m:t>
          </m:r>
          <m:f>
            <m:fPr>
              <m:type m:val="bar"/>
            </m:fPr>
            <m:num>
              <m:r>
                <m:t>λ</m:t>
              </m:r>
            </m:num>
            <m:den>
              <m:r>
                <m:t>2</m:t>
              </m:r>
            </m:den>
          </m:f>
          <m:r>
            <m:rPr>
              <m:sty m:val="p"/>
            </m:rPr>
            <m:t>∥</m:t>
          </m:r>
          <m:sSub>
            <m:e>
              <m:r>
                <m:t>W</m:t>
              </m:r>
            </m:e>
            <m:sub>
              <m:r>
                <m:t>u</m:t>
              </m:r>
            </m:sub>
          </m:sSub>
          <m:r>
            <m:t>u</m:t>
          </m:r>
          <m:sSubSup>
            <m:e>
              <m:r>
                <m:rPr>
                  <m:sty m:val="p"/>
                </m:rPr>
                <m:t>∥</m:t>
              </m:r>
            </m:e>
            <m:sub>
              <m:r>
                <m:t>2</m:t>
              </m:r>
            </m:sub>
            <m:sup>
              <m:r>
                <m:t>2</m:t>
              </m:r>
            </m:sup>
          </m:sSubSup>
          <m:r>
            <m:rPr>
              <m:sty m:val="p"/>
            </m:rPr>
            <m:t>+</m:t>
          </m:r>
          <m:f>
            <m:fPr>
              <m:type m:val="bar"/>
            </m:fPr>
            <m:num>
              <m:r>
                <m:t>ρ</m:t>
              </m:r>
            </m:num>
            <m:den>
              <m:r>
                <m:t>2</m:t>
              </m:r>
            </m:den>
          </m:f>
          <m:r>
            <m:rPr>
              <m:sty m:val="p"/>
            </m:rPr>
            <m:t>∥</m:t>
          </m:r>
          <m:r>
            <m:t>u</m:t>
          </m:r>
          <m:r>
            <m:rPr>
              <m:sty m:val="p"/>
            </m:rPr>
            <m:t>−</m:t>
          </m:r>
          <m:sSub>
            <m:e>
              <m:r>
                <m:t>u</m:t>
              </m:r>
            </m:e>
            <m:sub>
              <m:r>
                <m:t>k</m:t>
              </m:r>
              <m:r>
                <m:rPr>
                  <m:sty m:val="p"/>
                </m:rPr>
                <m:t>−</m:t>
              </m:r>
              <m:r>
                <m:t>1</m:t>
              </m:r>
            </m:sub>
          </m:sSub>
          <m:sSubSup>
            <m:e>
              <m:r>
                <m:rPr>
                  <m:sty m:val="p"/>
                </m:rPr>
                <m:t>∥</m:t>
              </m:r>
            </m:e>
            <m:sub>
              <m:r>
                <m:t>2</m:t>
              </m:r>
            </m:sub>
            <m:sup>
              <m:r>
                <m:t>2</m:t>
              </m:r>
            </m:sup>
          </m:sSubSup>
        </m:oMath>
      </m:oMathPara>
    </w:p>
    <w:p>
      <w:pPr>
        <w:pStyle w:val="PX4公式"/>
        <w:keepLines/>
        <w:widowControl/>
        <w:ind w:firstLine="0"/>
        <w:jc w:val="center"/>
      </w:pPr>
      <m:oMathPara>
        <m:oMathParaPr>
          <m:jc m:val="center"/>
        </m:oMathParaPr>
        <m:oMath>
          <m:r>
            <m:rPr>
              <m:nor/>
              <m:sty m:val="p"/>
            </m:rPr>
            <m:t>s.t.</m:t>
          </m:r>
          <m:r>
            <m:t> </m:t>
          </m:r>
          <m:sSub>
            <m:e>
              <m:r>
                <m:t>u</m:t>
              </m:r>
            </m:e>
            <m:sub>
              <m:r>
                <m:t>m</m:t>
              </m:r>
              <m:r>
                <m:t>i</m:t>
              </m:r>
              <m:r>
                <m:t>n</m:t>
              </m:r>
            </m:sub>
          </m:sSub>
          <m:r>
            <m:rPr>
              <m:sty m:val="p"/>
            </m:rPr>
            <m:t>≤</m:t>
          </m:r>
          <m:r>
            <m:t>u</m:t>
          </m:r>
          <m:r>
            <m:rPr>
              <m:sty m:val="p"/>
            </m:rPr>
            <m:t>≤</m:t>
          </m:r>
          <m:sSub>
            <m:e>
              <m:r>
                <m:t>u</m:t>
              </m:r>
            </m:e>
            <m:sub>
              <m:r>
                <m:t>m</m:t>
              </m:r>
              <m:r>
                <m:t>a</m:t>
              </m:r>
              <m:r>
                <m:t>x</m:t>
              </m:r>
            </m:sub>
          </m:sSub>
          <m:r>
            <m:rPr>
              <m:sty m:val="p"/>
            </m:rPr>
            <m:t>,</m:t>
          </m:r>
          <m:r>
            <m:t> </m:t>
          </m:r>
          <m:d>
            <m:dPr>
              <m:begChr m:val="|"/>
              <m:endChr m:val="|"/>
              <m:sepChr m:val=""/>
              <m:grow/>
            </m:dPr>
            <m:e>
              <m:r>
                <m:t>u</m:t>
              </m:r>
              <m:r>
                <m:rPr>
                  <m:sty m:val="p"/>
                </m:rPr>
                <m:t>−</m:t>
              </m:r>
              <m:sSub>
                <m:e>
                  <m:r>
                    <m:t>u</m:t>
                  </m:r>
                </m:e>
                <m:sub>
                  <m:r>
                    <m:t>k</m:t>
                  </m:r>
                  <m:r>
                    <m:rPr>
                      <m:sty m:val="p"/>
                    </m:rPr>
                    <m:t>−</m:t>
                  </m:r>
                  <m:r>
                    <m:t>1</m:t>
                  </m:r>
                </m:sub>
              </m:sSub>
            </m:e>
          </m:d>
          <m:r>
            <m:rPr>
              <m:sty m:val="p"/>
            </m:rPr>
            <m:t>≤</m:t>
          </m:r>
          <m:r>
            <m:t>Δ</m:t>
          </m:r>
          <m:sSub>
            <m:e>
              <m:r>
                <m:t>u</m:t>
              </m:r>
            </m:e>
            <m:sub>
              <m:r>
                <m:t>m</m:t>
              </m:r>
              <m:r>
                <m:t>a</m:t>
              </m:r>
              <m:r>
                <m:t>x</m:t>
              </m:r>
            </m:sub>
          </m:sSub>
        </m:oMath>
      </m:oMathPara>
    </w:p>
    <w:p>
      <w:pPr>
        <w:pStyle w:val="PX4正文"/>
        <w:widowControl/>
        <w:ind w:firstLine="480"/>
        <w:jc w:val="both"/>
      </w:pPr>
      <w:r>
        <w:rPr>
          <w:rFonts w:ascii="Times New Roman" w:hAnsi="Times New Roman" w:eastAsia="宋体"/>
          <w:sz w:val="24"/>
        </w:rPr>
        <w:t xml:space="preserve">其中</w:t>
      </w:r>
      <m:oMath>
        <m:sSub>
          <m:e>
            <m:r>
              <m:t>W</m:t>
            </m:r>
          </m:e>
          <m:sub>
            <m:r>
              <m:t>τ</m:t>
            </m:r>
          </m:sub>
        </m:sSub>
      </m:oMath>
      <w:r>
        <w:rPr>
          <w:rFonts w:ascii="Times New Roman" w:hAnsi="Times New Roman" w:eastAsia="宋体"/>
          <w:sz w:val="24"/>
        </w:rPr>
        <w:t xml:space="preserve">决定各广义力分量优先级，</w:t>
      </w:r>
      <m:oMath>
        <m:sSub>
          <m:e>
            <m:r>
              <m:t>W</m:t>
            </m:r>
          </m:e>
          <m:sub>
            <m:r>
              <m:t>u</m:t>
            </m:r>
          </m:sub>
        </m:sSub>
      </m:oMath>
      <w:r>
        <w:rPr>
          <w:rFonts w:ascii="Times New Roman" w:hAnsi="Times New Roman" w:eastAsia="宋体"/>
          <w:sz w:val="24"/>
        </w:rPr>
        <w:t xml:space="preserve">约束推进器负担，</w:t>
      </w:r>
      <m:oMath>
        <m:r>
          <m:t>λ</m:t>
        </m:r>
        <m:r>
          <m:rPr>
            <m:sty m:val="p"/>
          </m:rPr>
          <m:t>,</m:t>
        </m:r>
        <m:r>
          <m:t>ρ</m:t>
        </m:r>
        <m:r>
          <m:rPr>
            <m:sty m:val="p"/>
          </m:rPr>
          <m:t>≥</m:t>
        </m:r>
        <m:r>
          <m:t>0</m:t>
        </m:r>
      </m:oMath>
      <w:r>
        <w:rPr>
          <w:rFonts w:ascii="Times New Roman" w:hAnsi="Times New Roman" w:eastAsia="宋体"/>
          <w:sz w:val="24"/>
        </w:rPr>
        <w:t xml:space="preserve">调节能耗近似与指令平滑；上下限及变化率均须由实测推力—指令标定获得。有效集法对小维数QP可热启动，但在约束频繁切换时仍需实测计算时延。该形式在可行域内最小化分配残差，并不意味着每种期望广义力都能无误差实现。</w:t>
      </w:r>
    </w:p>
    <w:p>
      <w:pPr>
        <w:pStyle w:val="PX4正文"/>
        <w:widowControl/>
        <w:ind w:firstLine="480"/>
        <w:jc w:val="both"/>
      </w:pPr>
      <w:r>
        <w:rPr>
          <w:rFonts w:ascii="Times New Roman" w:hAnsi="Times New Roman" w:eastAsia="宋体"/>
          <w:sz w:val="24"/>
        </w:rPr>
        <w:t xml:space="preserve">控制—分配协同存在更深层的模型自洽问题。分层架构以上层MPC输出</w:t>
      </w:r>
      <m:oMath>
        <m:sSub>
          <m:e>
            <m:r>
              <m:t>τ</m:t>
            </m:r>
          </m:e>
          <m:sub>
            <m:r>
              <m:t>d</m:t>
            </m:r>
          </m:sub>
        </m:sSub>
      </m:oMath>
      <w:r>
        <w:rPr>
          <w:rFonts w:ascii="Times New Roman" w:hAnsi="Times New Roman" w:eastAsia="宋体"/>
          <w:sz w:val="24"/>
        </w:rPr>
        <w:t xml:space="preserve">、下层QP产生</w:t>
      </w:r>
      <m:oMath>
        <m:sSub>
          <m:e>
            <m:r>
              <m:t>u</m:t>
            </m:r>
          </m:e>
          <m:sub>
            <m:r>
              <m:rPr>
                <m:sty m:val="p"/>
              </m:rPr>
              <m:t>Q</m:t>
            </m:r>
            <m:r>
              <m:rPr>
                <m:sty m:val="p"/>
              </m:rPr>
              <m:t>P</m:t>
            </m:r>
          </m:sub>
        </m:sSub>
      </m:oMath>
      <w:r>
        <w:rPr>
          <w:rFonts w:ascii="Times New Roman" w:hAnsi="Times New Roman" w:eastAsia="宋体"/>
          <w:sz w:val="24"/>
        </w:rPr>
        <w:t xml:space="preserve">，当</w:t>
      </w:r>
      <m:oMath>
        <m:sSub>
          <m:e>
            <m:r>
              <m:t>τ</m:t>
            </m:r>
          </m:e>
          <m:sub>
            <m:r>
              <m:t>d</m:t>
            </m:r>
          </m:sub>
        </m:sSub>
        <m:r>
          <m:rPr>
            <m:sty m:val="p"/>
          </m:rPr>
          <m:t>∉</m:t>
        </m:r>
        <m:sSub>
          <m:e>
            <m:r>
              <m:rPr>
                <m:sty m:val="p"/>
                <m:scr m:val="script"/>
              </m:rPr>
              <m:t>W</m:t>
            </m:r>
          </m:e>
          <m:sub>
            <m:r>
              <m:t>k</m:t>
            </m:r>
          </m:sub>
        </m:sSub>
        <m:r>
          <m:rPr>
            <m:sty m:val="p"/>
          </m:rPr>
          <m:t>=</m:t>
        </m:r>
        <m:r>
          <m:rPr>
            <m:sty m:val="p"/>
          </m:rPr>
          <m:t>{</m:t>
        </m:r>
        <m:r>
          <m:t>B</m:t>
        </m:r>
        <m:r>
          <m:t>u</m:t>
        </m:r>
        <m:r>
          <m:rPr>
            <m:sty m:val="p"/>
          </m:rPr>
          <m:t>:</m:t>
        </m:r>
        <m:r>
          <m:t> </m:t>
        </m:r>
        <m:sSub>
          <m:e>
            <m:r>
              <m:t>u</m:t>
            </m:r>
          </m:e>
          <m:sub>
            <m:r>
              <m:t>m</m:t>
            </m:r>
            <m:r>
              <m:t>i</m:t>
            </m:r>
            <m:r>
              <m:t>n</m:t>
            </m:r>
          </m:sub>
        </m:sSub>
        <m:r>
          <m:rPr>
            <m:sty m:val="p"/>
          </m:rPr>
          <m:t>≤</m:t>
        </m:r>
        <m:r>
          <m:t>u</m:t>
        </m:r>
        <m:r>
          <m:rPr>
            <m:sty m:val="p"/>
          </m:rPr>
          <m:t>≤</m:t>
        </m:r>
        <m:sSub>
          <m:e>
            <m:r>
              <m:t>u</m:t>
            </m:r>
          </m:e>
          <m:sub>
            <m:r>
              <m:t>m</m:t>
            </m:r>
            <m:r>
              <m:t>a</m:t>
            </m:r>
            <m:r>
              <m:t>x</m:t>
            </m:r>
          </m:sub>
        </m:sSub>
        <m:r>
          <m:rPr>
            <m:sty m:val="p"/>
          </m:rPr>
          <m:t>,</m:t>
        </m:r>
        <m:r>
          <m:t> </m:t>
        </m:r>
        <m:d>
          <m:dPr>
            <m:begChr m:val="|"/>
            <m:endChr m:val="|"/>
            <m:sepChr m:val=""/>
            <m:grow/>
          </m:dPr>
          <m:e>
            <m:r>
              <m:t>u</m:t>
            </m:r>
            <m:r>
              <m:rPr>
                <m:sty m:val="p"/>
              </m:rPr>
              <m:t>−</m:t>
            </m:r>
            <m:sSub>
              <m:e>
                <m:r>
                  <m:t>u</m:t>
                </m:r>
              </m:e>
              <m:sub>
                <m:r>
                  <m:t>k</m:t>
                </m:r>
                <m:r>
                  <m:rPr>
                    <m:sty m:val="p"/>
                  </m:rPr>
                  <m:t>−</m:t>
                </m:r>
                <m:r>
                  <m:t>1</m:t>
                </m:r>
              </m:sub>
            </m:sSub>
          </m:e>
        </m:d>
        <m:r>
          <m:rPr>
            <m:sty m:val="p"/>
          </m:rPr>
          <m:t>≤</m:t>
        </m:r>
        <m:r>
          <m:t>Δ</m:t>
        </m:r>
        <m:sSub>
          <m:e>
            <m:r>
              <m:t>u</m:t>
            </m:r>
          </m:e>
          <m:sub>
            <m:r>
              <m:t>m</m:t>
            </m:r>
            <m:r>
              <m:t>a</m:t>
            </m:r>
            <m:r>
              <m:t>x</m:t>
            </m:r>
          </m:sub>
        </m:sSub>
        <m:r>
          <m:rPr>
            <m:sty m:val="p"/>
          </m:rPr>
          <m:t>}</m:t>
        </m:r>
      </m:oMath>
      <w:r>
        <w:rPr>
          <w:rFonts w:ascii="Times New Roman" w:hAnsi="Times New Roman" w:eastAsia="宋体"/>
          <w:sz w:val="24"/>
        </w:rPr>
        <w:t xml:space="preserve">时，分配残差</w:t>
      </w:r>
      <m:oMath>
        <m:sSub>
          <m:e>
            <m:r>
              <m:t>r</m:t>
            </m:r>
          </m:e>
          <m:sub>
            <m:r>
              <m:t>k</m:t>
            </m:r>
          </m:sub>
        </m:sSub>
        <m:r>
          <m:rPr>
            <m:sty m:val="p"/>
          </m:rPr>
          <m:t>=</m:t>
        </m:r>
        <m:sSub>
          <m:e>
            <m:r>
              <m:t>τ</m:t>
            </m:r>
          </m:e>
          <m:sub>
            <m:r>
              <m:t>d</m:t>
            </m:r>
          </m:sub>
        </m:sSub>
        <m:r>
          <m:rPr>
            <m:sty m:val="p"/>
          </m:rPr>
          <m:t>−</m:t>
        </m:r>
        <m:r>
          <m:t>B</m:t>
        </m:r>
        <m:sSub>
          <m:e>
            <m:r>
              <m:t>u</m:t>
            </m:r>
          </m:e>
          <m:sub>
            <m:r>
              <m:rPr>
                <m:sty m:val="p"/>
              </m:rPr>
              <m:t>Q</m:t>
            </m:r>
            <m:r>
              <m:rPr>
                <m:sty m:val="p"/>
              </m:rPr>
              <m:t>P</m:t>
            </m:r>
          </m:sub>
        </m:sSub>
      </m:oMath>
      <w:r>
        <w:rPr>
          <w:rFonts w:ascii="Times New Roman" w:hAnsi="Times New Roman" w:eastAsia="宋体"/>
          <w:sz w:val="24"/>
        </w:rPr>
        <w:t xml:space="preserve">以未预测输入误差的形式进入真实闭环，导致下一采样时刻的状态与上层预测不一致。可行改进包括在MPC中使用可达广义力集合的保守近似，将残差反馈至扰动估计器，并根据当前推进器工作点动态收缩上层约束。一体化协同则直接以八路推力作为MPC决策变量，从结构上避免静态分配接口失配，却显著增加时域决策维数，并无法自动消除电机滞后、模型不确定性与时序误差。因此，兼顾计算预算与分配一致性的轻量分层协同策略，更适合作为可验证的工程研究切入点。</w:t>
      </w:r>
      <w:r>
        <w:t xml:space="preserve"> 这种层间动态失配在极端机动与强扰动工况下极易诱发控制震荡。因此，设计兼具轻量计算开销、能够通过残差补偿与动态约束收缩抑制层间失配的分层协同控制策略，构成了兼顾控制品质与嵌入式工程可行性的关键切入点。</w:t>
      </w:r>
    </w:p>
    <w:bookmarkEnd w:id="22"/>
    <w:bookmarkStart w:id="23" w:name="px4开源飞控水下适配与闭环仿真验证现状"/>
    <w:p>
      <w:pPr>
        <w:pStyle w:val="PX4三级标题"/>
        <w:widowControl/>
        <w:ind w:firstLine="0"/>
        <w:jc w:val="left"/>
      </w:pPr>
      <w:r>
        <w:rPr>
          <w:rFonts w:ascii="Times New Roman" w:hAnsi="Times New Roman" w:eastAsia="黑体"/>
          <w:sz w:val="24"/>
        </w:rPr>
        <w:t xml:space="preserve">2.3 PX4开源飞控水下适配与闭环仿真验证现状</w:t>
      </w:r>
    </w:p>
    <w:p>
      <w:pPr>
        <w:pStyle w:val="PX4正文"/>
        <w:widowControl/>
        <w:ind w:firstLine="480"/>
        <w:jc w:val="both"/>
      </w:pPr>
      <w:r>
        <w:t>控制算法从离线数学仿真走向实体装备，必须经历飞控平台嵌入式软件栈集成与系统级闭环验证的关键跨越。实际自驾仪软件的实时任务调度时序、进程间通信延迟、执行器 PWM 离散映射以及传感器数据量化抖动等底层系统级非理想因素，在传统独立算法设计中往往被理想化忽略，使得系统级闭环验证成为算法工程化不可或缺的验证屏障。</w:t>
      </w:r>
    </w:p>
    <w:p>
      <w:pPr>
        <w:pStyle w:val="PX4正文"/>
        <w:widowControl/>
        <w:ind w:firstLine="480"/>
        <w:jc w:val="both"/>
      </w:pPr>
      <w:r>
        <w:t>在飞控软件架构方面，Meier等[34]主导的 PX4 自驾仪采用基于微内核思想的模块化多线程架构。传感器采集、状态估计（EKF2）、位置/姿态控制与执行机构输出等核心功能模块，通过高效的 uORB 发布—订阅总线实现解耦数据交互，为自定义控制算法的扩展与热插拔提供了良好的软件边界。针对多执行器控制，PX4 原生集成了 Control Allocator 模块[35]，该模块依据机型配置文件静态定义的推力效能矩阵完成混控计算，并内置了基础限幅与电机失效降级逻辑。然而，该通用混控模块的设计定位主要面向常规旋翼与固定翼航模，其算法内核本质上仍局限于无约束加权伪逆与简单分轴饱和截断，缺乏针对水下空间矢量八推进器、能够独立施加非对称推力上下限与变化率约束的在线二次规划（QP）优化求解器。因此，在开源飞控内引入高阶优化分配时，必须重构其执行器数据链并设计安全平滑的回退保护机制。</w:t>
      </w:r>
    </w:p>
    <w:p>
      <w:pPr>
        <w:pStyle w:val="PX4正文"/>
        <w:widowControl/>
        <w:ind w:firstLine="480"/>
        <w:jc w:val="both"/>
      </w:pPr>
      <w:r>
        <w:t>在水下机型官方支持方面，PX4 官方目前仍将无人水下航行器（UUV）框架标注为实验性支持[4]。根据官方 BlueROV2 Heavy 构型文档[36]，系统提供了 Manual、Stabilized、Acro、Altitude 与 Position 五种标准操作模式。其中，Manual 模式为摇杆对推进器指令的直接开环映射；Stabilized 模式在手动推力基础上引入横滚与俯仰姿态自稳；Acro 模式面向以艏向角速度为主的高机动操纵；Altitude 模式通过压力计测量实现深度 PID 闭环控制；Position 模式则利用声学定位（如 DVL、USBL）实现定点悬停与艏向保持。由此表明，PX4 水下固件在常规操纵与基础比例反馈自稳方面已具备成熟基础，但其控制逻辑仍以单轴解耦 PID 为核心，尚未构建起面向六自由度非线性动力学前馈、多变量显式约束预测以及冗余推进器实时优化分配的高阶先进控制架构。</w:t>
      </w:r>
    </w:p>
    <w:p>
      <w:pPr>
        <w:pStyle w:val="PX4正文"/>
        <w:widowControl/>
        <w:ind w:firstLine="480"/>
        <w:jc w:val="both"/>
      </w:pPr>
      <w:r>
        <w:t>针对高阶复杂算法的部署接入，PX4 提供了固件原生集成与 Offboard 伴随计算机外部控制两条技术路径[37]。Offboard 模式通过 MAVLink 协议或 ROS 2 微客户端接收外部工控机下发的高层运动指令（如 SET_ATTITUDE_TARGET、SET_POSITION_TARGET_LOCAL_NED），由机载伴随计算机承载高负荷的非线性 MPC 预测与 QP 优化求解。该方案能够充分发挥边缘计算硬件的算力优势，但其代价在于：MAVLink 串口通信链路引入的毫秒级时延抖动、外部优化循环周期与飞控底层硬实时调度周期之间的时序异步，以及水下声学定位信号偶发丢包对外部闭环稳定性的冲击；此外，外部指令类型与字段支持范围受到固件版本规范的严格制约，无法简单假定外部指令能绕过飞控混控直接无缝驱动八路推进器。相比之下，固件原生集成具备控制链路短、硬实时响应确定性高的优势，但直接受制于飞控微处理器（如 STM32 系列）的内存容量、浮点算力以及 uORB 调度周期的最坏求解时延上界。因此，建立软硬件语义一致的高可靠接入接口，构成了平台适配的核心内容。</w:t>
      </w:r>
    </w:p>
    <w:p>
      <w:pPr>
        <w:pStyle w:val="PX4正文"/>
        <w:widowControl/>
        <w:ind w:firstLine="480"/>
        <w:jc w:val="both"/>
      </w:pPr>
      <w:r>
        <w:t>在算法仿真与验证手段方面，水下航行器控制研究经历了从离线纯数学仿真向系统级软件在环仿真（SITL）演进的必然历程。以 MATLAB/Simulink 为代表的离线数值仿真（如 von Benzon 等[10]建立的基准模型）在算法原理验证与参数调试阶段具有快速直观的优势，但其核心局限在于与真实飞控工程环境完全解耦，忽略了传感器报文抖动、uORB 调度周期、PWM 离散映射等系统级时序非理想因素，存在不可逾越的“系统级语义鸿沟”。PX4 与物理仿真引擎联合构筑的 SITL 平台则将编译生成的真实飞控二进制固件直接挂载于闭环回路中。在水下动力学物理建模方面，仿真环境可依托 Gazebo Classic 体系下的 BuoyancyPlugin、ThrusterPlugin，或新一代 Gazebo Sim 模块化系统中的 Buoyancy、Thruster 与 Hydrodynamics 系统插件，显式施加附加质量效应、二次流体阻尼、浮重力恢复力矩与推进器死区非线性。SITL 能够以实机部署完全相同的代码路径对轨迹跟踪误差、约束违例率、分配残差及端到端通信时延进行全链路评估，为控制算法在实装水池实验前提供了最高置信度的虚拟测试基准。</w:t>
      </w:r>
    </w:p>
    <w:bookmarkEnd w:id="23"/>
    <w:bookmarkStart w:id="24" w:name="发展趋势与本课题研究切入点"/>
    <w:p>
      <w:pPr>
        <w:pStyle w:val="PX4三级标题"/>
        <w:widowControl/>
        <w:ind w:firstLine="0"/>
        <w:jc w:val="left"/>
      </w:pPr>
      <w:r>
        <w:rPr>
          <w:rFonts w:ascii="Times New Roman" w:hAnsi="Times New Roman" w:eastAsia="黑体"/>
          <w:sz w:val="24"/>
        </w:rPr>
        <w:t xml:space="preserve">2.4 发展趋势与本课题研究切入点</w:t>
      </w:r>
    </w:p>
    <w:p>
      <w:pPr>
        <w:pStyle w:val="PX4正文"/>
        <w:widowControl/>
        <w:ind w:firstLine="480"/>
        <w:jc w:val="both"/>
      </w:pPr>
      <w:r>
        <w:t>综观国内外相关领域的学术演进与技术突破，八推进器全向水下航行器的建模、控制与验证呈现出三条清晰的发展趋势：其一，动力学建模正从孤立的纯机理或纯黑箱模型向“物理引导的机理—数据融合灰箱建模”演进，通过机理骨架约束数据学习边界，在物理可解释性与复杂未建模水动力预测精度之间取得平衡；其二，运动控制正从各轴独立解耦反馈向“多变量预测控制与优化推力分配协同”演进，旨在协调六自由度强耦合、执行机构物理多极限约束与控制系统实时求解效率之间的内在张力；其三，系统验证范式正从孤立离线数学仿真向“基于开源飞控系统的全链路 SITL 闭环验证”演进，以提前暴露软硬件交互时序抖动，提升控制算法向工程装备迁移的可靠性。</w:t>
      </w:r>
    </w:p>
    <w:p>
      <w:pPr>
        <w:pStyle w:val="PX4正文"/>
        <w:widowControl/>
        <w:ind w:firstLine="480"/>
        <w:jc w:val="both"/>
      </w:pPr>
      <w:r>
        <w:t>然而，立足八推进器矢量布局水下航行器的工程应用需求，现有研究在以下三个层面仍存在尚未打通的跨层技术瓶颈与文献证据缺口：</w:t>
      </w:r>
    </w:p>
    <w:p>
      <w:pPr>
        <w:pStyle w:val="PX4正文"/>
        <w:widowControl/>
        <w:ind w:firstLine="480"/>
        <w:jc w:val="both"/>
      </w:pPr>
      <w:r>
        <w:t>模型端瓶颈：传统机理模型对低速近壁等复杂水动力耦合阻尼的预测能力有限，CFD 与水池试验辨识的获取成本高昂且无法在线适应工况漂移；纯数据驱动方法在非分布工况下的外推泛化稳定性难以保障；物理引导灰箱建模虽展现出独特优势，但如何在八推进器全向构型下平衡高精度物理约束与嵌入式在线微秒级预测的时效性，在公开文献中仍缺乏系统量化的验证依据。</w:t>
      </w:r>
    </w:p>
    <w:p>
      <w:pPr>
        <w:pStyle w:val="PX4正文"/>
        <w:widowControl/>
        <w:ind w:firstLine="480"/>
        <w:jc w:val="both"/>
      </w:pPr>
      <w:r>
        <w:t>控制端瓶颈：现有分层解耦架构中，上层 MPC 运动规划生成的广义力期望与下层推力分配器实际可达的物理约束域之间长期存在动态失配风险——当抗流或机动诱发推进器饱和时，下层分配残差将以未预测扰动的形式破坏上层预测模型的物理自洽性，诱发闭环震荡；一体化协同优化虽从结构上消除了层间失配，但决策变量激增带来的非凸数值求解负担与嵌入式算力限制之间的矛盾，在八推进器全向构型下尚未形成实时可行性边界的完备评估。</w:t>
      </w:r>
    </w:p>
    <w:p>
      <w:pPr>
        <w:pStyle w:val="PX4正文"/>
        <w:widowControl/>
        <w:ind w:firstLine="480"/>
        <w:jc w:val="both"/>
      </w:pPr>
      <w:r>
        <w:t>平台端瓶颈：PX4 官方 UUV 框架仍以传统解耦 PID 为核心，原生混控缺乏处理推力多维非对称硬约束的优化分配能力；Offboard 外部协同模式引入的通信时延、调度周期抖动以及 MAVLink 设定值协议语义约束对高频控制闭环的影响，在公开研究中缺乏深入的鲁棒性边界量化；针对八推进器矢量航行器在 PX4/Gazebo SITL 框架下打通“模型—MPC—QP分配”的全链路系统级验证工作尚属空白。</w:t>
      </w:r>
    </w:p>
    <w:p>
      <w:pPr>
        <w:pStyle w:val="PX4正文"/>
        <w:widowControl/>
        <w:ind w:firstLine="480"/>
        <w:jc w:val="both"/>
      </w:pPr>
      <w:r>
        <w:t>针对上述三大跨层瓶颈，本课题以 BlueROV2 Heavy 八推进器全向航行器为对象，拟从模型层、控制层与平台层三个维度贯通展开深入研究：在模型层，构建兼顾物理一致性先验与在线计算时效性的控制导向水动力模型，系统辨识并表征六自由度耦合特性；在控制层，设计能够有效感知推进器物理约束、抑制层间动态失配的分层协同预测控制与推力分配架构，兼顾全局跟踪品质与实时解算效率；在平台层，探索高阶优化控制律在 PX4 飞控体系下的适配方案，依托高保真 PX4/Gazebo SITL 闭环仿真平台对全链路控制系统进行系统级时序与性能验证。三层研究内容环环相扣、相互支撑，共同构成后文“主要研究内容与技术方案”的展开基石。</w:t>
      </w:r>
    </w:p>
    <w:bookmarkEnd w:id="24"/>
    <w:bookmarkEnd w:id="25"/>
    <w:bookmarkEnd w:id="26"/>
    <w:bookmarkStart w:id="30" w:name="二毕业论文方案介绍"/>
    <w:p>
      <w:pPr>
        <w:pStyle w:val="PX4节标题"/>
        <w:widowControl/>
        <w:ind w:firstLine="0"/>
        <w:jc w:val="left"/>
      </w:pPr>
      <w:r>
        <w:rPr>
          <w:rFonts w:ascii="Times New Roman" w:hAnsi="Times New Roman" w:eastAsia="黑体"/>
          <w:sz w:val="24"/>
        </w:rPr>
        <w:t xml:space="preserve">二、毕业论文方案介绍</w:t>
      </w:r>
    </w:p>
    <w:bookmarkStart w:id="27" w:name="主要研究内容"/>
    <w:p>
      <w:pPr>
        <w:pStyle w:val="PX4二级标题"/>
        <w:widowControl/>
        <w:ind w:firstLine="0"/>
        <w:jc w:val="left"/>
      </w:pPr>
      <w:r>
        <w:rPr>
          <w:rFonts w:ascii="Times New Roman" w:hAnsi="Times New Roman" w:eastAsia="黑体"/>
          <w:sz w:val="24"/>
        </w:rPr>
        <w:t xml:space="preserve">1．主要研究内容</w:t>
      </w:r>
    </w:p>
    <w:p>
      <w:pPr>
        <w:pStyle w:val="PX4占位"/>
        <w:widowControl/>
        <w:jc w:val="left"/>
      </w:pPr>
      <w:r>
        <w:rPr>
          <w:rFonts w:ascii="Times New Roman" w:hAnsi="Times New Roman" w:eastAsia="宋体"/>
          <w:sz w:val="22"/>
        </w:rPr>
        <w:t xml:space="preserve">（待后续阶段撰写）</w:t>
      </w:r>
    </w:p>
    <w:bookmarkEnd w:id="27"/>
    <w:bookmarkStart w:id="28" w:name="研究方案"/>
    <w:p>
      <w:pPr>
        <w:pStyle w:val="PX4二级标题"/>
        <w:widowControl/>
        <w:ind w:firstLine="0"/>
        <w:jc w:val="left"/>
      </w:pPr>
      <w:r>
        <w:rPr>
          <w:rFonts w:ascii="Times New Roman" w:hAnsi="Times New Roman" w:eastAsia="黑体"/>
          <w:sz w:val="24"/>
        </w:rPr>
        <w:t xml:space="preserve">2．研究方案</w:t>
      </w:r>
    </w:p>
    <w:p>
      <w:pPr>
        <w:pStyle w:val="PX4占位"/>
        <w:widowControl/>
        <w:jc w:val="left"/>
      </w:pPr>
      <w:r>
        <w:rPr>
          <w:rFonts w:ascii="Times New Roman" w:hAnsi="Times New Roman" w:eastAsia="宋体"/>
          <w:sz w:val="22"/>
        </w:rPr>
        <w:t xml:space="preserve">（待后续阶段撰写）</w:t>
      </w:r>
    </w:p>
    <w:bookmarkEnd w:id="28"/>
    <w:bookmarkStart w:id="29" w:name="工作进度安排"/>
    <w:p>
      <w:pPr>
        <w:pStyle w:val="PX4二级标题"/>
        <w:widowControl/>
        <w:ind w:firstLine="0"/>
        <w:jc w:val="left"/>
      </w:pPr>
      <w:r>
        <w:rPr>
          <w:rFonts w:ascii="Times New Roman" w:hAnsi="Times New Roman" w:eastAsia="黑体"/>
          <w:sz w:val="24"/>
        </w:rPr>
        <w:t xml:space="preserve">3．工作进度安排</w:t>
      </w:r>
    </w:p>
    <w:p>
      <w:pPr>
        <w:pStyle w:val="PX4占位"/>
        <w:widowControl/>
        <w:jc w:val="left"/>
      </w:pPr>
      <w:r>
        <w:rPr>
          <w:rFonts w:ascii="Times New Roman" w:hAnsi="Times New Roman" w:eastAsia="宋体"/>
          <w:sz w:val="22"/>
        </w:rPr>
        <w:t xml:space="preserve">（待后续阶段撰写）</w:t>
      </w:r>
    </w:p>
    <w:bookmarkEnd w:id="29"/>
    <w:bookmarkEnd w:id="30"/>
    <w:bookmarkStart w:id="31" w:name="三毕业论文的主要参考文献"/>
    <w:p>
      <w:pPr>
        <w:pStyle w:val="PX4节标题"/>
        <w:widowControl/>
        <w:ind w:firstLine="0"/>
        <w:jc w:val="left"/>
      </w:pPr>
      <w:r>
        <w:rPr>
          <w:rFonts w:ascii="Times New Roman" w:hAnsi="Times New Roman" w:eastAsia="黑体"/>
          <w:sz w:val="24"/>
        </w:rPr>
        <w:t xml:space="preserve">三、毕业论文的主要参考文献</w:t>
      </w:r>
    </w:p>
    <w:p>
      <w:pPr>
        <w:pStyle w:val="PX4参考文献"/>
        <w:keepLines/>
        <w:widowControl/>
        <w:ind w:left="442" w:hanging="442"/>
        <w:jc w:val="left"/>
      </w:pPr>
      <w:r>
        <w:rPr>
          <w:rFonts w:ascii="Times New Roman" w:hAnsi="Times New Roman" w:eastAsia="宋体"/>
          <w:sz w:val="21"/>
        </w:rPr>
        <w:t>[1] 工业和信息化部, 国家发展和改革委员会, 科学技术部, 等. “十四五”机器人产业发展规划[J]. 中华人民共和国工业和信息化部公报, 2021(12): 20-27.</w:t>
      </w:r>
    </w:p>
    <w:p>
      <w:pPr>
        <w:pStyle w:val="PX4参考文献"/>
        <w:keepLines/>
        <w:widowControl/>
        <w:ind w:left="442" w:hanging="442"/>
        <w:jc w:val="left"/>
      </w:pPr>
      <w:r>
        <w:rPr>
          <w:rFonts w:ascii="Times New Roman" w:hAnsi="Times New Roman" w:eastAsia="宋体"/>
          <w:sz w:val="21"/>
        </w:rPr>
        <w:t>[2] 工业和信息化部, 教育部, 科学技术部, 等. “机器人+”应用行动实施方案[J]. 中华人民共和国工业和信息化部公报, 2023(1): 18-24.</w:t>
      </w:r>
    </w:p>
    <w:p>
      <w:pPr>
        <w:pStyle w:val="PX4参考文献"/>
        <w:keepLines/>
        <w:widowControl/>
        <w:ind w:left="442" w:hanging="442"/>
        <w:jc w:val="left"/>
      </w:pPr>
      <w:r>
        <w:rPr>
          <w:rFonts w:ascii="Times New Roman" w:hAnsi="Times New Roman" w:eastAsia="宋体"/>
          <w:sz w:val="21"/>
        </w:rPr>
        <w:t>[3] FOSSEN T I. Handbook of Marine Craft Hydrodynamics and Motion Control[M]. 2nd ed. Chichester, UK: John Wiley &amp; Sons, 2021.</w:t>
      </w:r>
    </w:p>
    <w:p>
      <w:pPr>
        <w:pStyle w:val="PX4参考文献"/>
        <w:keepLines/>
        <w:widowControl/>
        <w:ind w:left="442" w:hanging="442"/>
        <w:jc w:val="left"/>
      </w:pPr>
      <w:r>
        <w:rPr>
          <w:rFonts w:ascii="Times New Roman" w:hAnsi="Times New Roman" w:eastAsia="宋体"/>
          <w:sz w:val="21"/>
        </w:rPr>
        <w:t>[4] PX4 Development Team. Submarines (Unmanned Underwater Vehicles—UUV)[EB/OL]. (2024)[2026-10-10]. https://docs.px4.io/main/en/frames_sub/index.</w:t>
      </w:r>
    </w:p>
    <w:p>
      <w:pPr>
        <w:pStyle w:val="PX4参考文献"/>
        <w:keepLines/>
        <w:widowControl/>
        <w:ind w:left="442" w:hanging="442"/>
        <w:jc w:val="left"/>
      </w:pPr>
      <w:r>
        <w:rPr>
          <w:rFonts w:ascii="Times New Roman" w:hAnsi="Times New Roman" w:eastAsia="宋体"/>
          <w:sz w:val="21"/>
        </w:rPr>
        <w:t>[5] FOSSEN T I. Nonlinear modelling of marine vehicles in 6 degrees of freedom[J]. Mathematical Modelling of Systems, 1995, 1(1): 17-27.</w:t>
      </w:r>
    </w:p>
    <w:p>
      <w:pPr>
        <w:pStyle w:val="PX4参考文献"/>
        <w:keepLines/>
        <w:widowControl/>
        <w:ind w:left="442" w:hanging="442"/>
        <w:jc w:val="left"/>
      </w:pPr>
      <w:r>
        <w:rPr>
          <w:rFonts w:ascii="Times New Roman" w:hAnsi="Times New Roman" w:eastAsia="宋体"/>
          <w:sz w:val="21"/>
        </w:rPr>
        <w:t>[6] 严卫生, 高剑, 崔荣鑫, 等. 水下航行器控制技术[M]. 北京: 国防工业出版社, 2020.</w:t>
      </w:r>
    </w:p>
    <w:p>
      <w:pPr>
        <w:pStyle w:val="PX4参考文献"/>
        <w:keepLines/>
        <w:widowControl/>
        <w:ind w:left="442" w:hanging="442"/>
        <w:jc w:val="left"/>
      </w:pPr>
      <w:r>
        <w:rPr>
          <w:rFonts w:ascii="Times New Roman" w:hAnsi="Times New Roman" w:eastAsia="宋体"/>
          <w:sz w:val="21"/>
        </w:rPr>
        <w:t>[7] PRESTERO T. Verification of a six-degree of freedom simulation model for the REMUS autonomous underwater vehicle[D]. Cambridge, MA: Massachusetts Institute of Technology, 2001.</w:t>
      </w:r>
    </w:p>
    <w:p>
      <w:pPr>
        <w:pStyle w:val="PX4参考文献"/>
        <w:keepLines/>
        <w:widowControl/>
        <w:ind w:left="442" w:hanging="442"/>
        <w:jc w:val="left"/>
      </w:pPr>
      <w:r>
        <w:rPr>
          <w:rFonts w:ascii="Times New Roman" w:hAnsi="Times New Roman" w:eastAsia="宋体"/>
          <w:sz w:val="21"/>
        </w:rPr>
        <w:t>[8] CACCIA M, INDIVERI G, VERUGGIO G. Modeling and identification of open-frame variable configuration unmanned underwater vehicles[J]. IEEE Journal of Oceanic Engineering, 2000, 25(2): 227-240.</w:t>
      </w:r>
    </w:p>
    <w:p>
      <w:pPr>
        <w:pStyle w:val="PX4参考文献"/>
        <w:keepLines/>
        <w:widowControl/>
        <w:ind w:left="442" w:hanging="442"/>
        <w:jc w:val="left"/>
      </w:pPr>
      <w:r>
        <w:rPr>
          <w:rFonts w:ascii="Times New Roman" w:hAnsi="Times New Roman" w:eastAsia="宋体"/>
          <w:sz w:val="21"/>
        </w:rPr>
        <w:t>[9] SMALLWOOD D A, WHITCOMB L L. Model-based dynamic positioning of underwater robotic vehicles: Theory and experiment[J]. IEEE Journal of Oceanic Engineering, 2004, 29(1): 169-186.</w:t>
      </w:r>
    </w:p>
    <w:p>
      <w:pPr>
        <w:pStyle w:val="PX4参考文献"/>
        <w:keepLines/>
        <w:widowControl/>
        <w:ind w:left="442" w:hanging="442"/>
        <w:jc w:val="left"/>
      </w:pPr>
      <w:r>
        <w:rPr>
          <w:rFonts w:ascii="Times New Roman" w:hAnsi="Times New Roman" w:eastAsia="宋体"/>
          <w:sz w:val="21"/>
        </w:rPr>
        <w:t>[10] VON BENZON M, SØRENSEN F F, UTH E, et al. An open-source benchmark simulator: Control of a BlueROV2 underwater robot[J]. Journal of Marine Science and Engineering, 2022, 10(12): 1898.</w:t>
      </w:r>
    </w:p>
    <w:p>
      <w:pPr>
        <w:pStyle w:val="PX4参考文献"/>
        <w:keepLines/>
        <w:widowControl/>
        <w:ind w:left="442" w:hanging="442"/>
        <w:jc w:val="left"/>
      </w:pPr>
      <w:r>
        <w:rPr>
          <w:rFonts w:ascii="Times New Roman" w:hAnsi="Times New Roman" w:eastAsia="宋体"/>
          <w:sz w:val="21"/>
        </w:rPr>
        <w:t>[11] 高婷, 庞永杰, 王亚兴, 等. 水下航行器水动力系数计算方法[J]. 哈尔滨工程大学学报, 2019, 40(1): 174-180.</w:t>
      </w:r>
    </w:p>
    <w:p>
      <w:pPr>
        <w:pStyle w:val="PX4参考文献"/>
        <w:keepLines/>
        <w:widowControl/>
        <w:ind w:left="442" w:hanging="442"/>
        <w:jc w:val="left"/>
      </w:pPr>
      <w:r>
        <w:rPr>
          <w:rFonts w:ascii="Times New Roman" w:hAnsi="Times New Roman" w:eastAsia="宋体"/>
          <w:sz w:val="21"/>
        </w:rPr>
        <w:t>[12] CHIN C S, LAU M W S. Modeling and testing of hydrodynamic damping for a complex-shaped underwater robot operating at low speed[C]//2012 Oceans - Yeosu. Yeosu, Korea: IEEE, 2012: 1-7.</w:t>
      </w:r>
    </w:p>
    <w:p>
      <w:pPr>
        <w:pStyle w:val="PX4参考文献"/>
        <w:keepLines/>
        <w:widowControl/>
        <w:ind w:left="442" w:hanging="442"/>
        <w:jc w:val="left"/>
      </w:pPr>
      <w:r>
        <w:rPr>
          <w:rFonts w:ascii="Times New Roman" w:hAnsi="Times New Roman" w:eastAsia="宋体"/>
          <w:sz w:val="21"/>
        </w:rPr>
        <w:t>[13] ROSS A, FOSSEN T I, JOHANSEN T A. Identification of underwater vehicle hydrodynamic coefficients using free decay tests[C]//IFAC Conference on Control Applications in Marine Systems. Ancona, Italy: IFAC, 2004: 363-368.</w:t>
      </w:r>
    </w:p>
    <w:p>
      <w:pPr>
        <w:pStyle w:val="PX4参考文献"/>
        <w:keepLines/>
        <w:widowControl/>
        <w:ind w:left="442" w:hanging="442"/>
        <w:jc w:val="left"/>
      </w:pPr>
      <w:r>
        <w:rPr>
          <w:rFonts w:ascii="Times New Roman" w:hAnsi="Times New Roman" w:eastAsia="宋体"/>
          <w:sz w:val="21"/>
        </w:rPr>
        <w:t>[14] AVILA J P J, ADAMOWSKI J C. Experimental model identification of open-frame unmanned underwater vehicles[C]//2013 Oceans - San Diego. San Diego, CA: IEEE, 2013: 1-7.</w:t>
      </w:r>
    </w:p>
    <w:p>
      <w:pPr>
        <w:pStyle w:val="PX4参考文献"/>
        <w:keepLines/>
        <w:widowControl/>
        <w:ind w:left="442" w:hanging="442"/>
        <w:jc w:val="left"/>
      </w:pPr>
      <w:r>
        <w:rPr>
          <w:rFonts w:ascii="Times New Roman" w:hAnsi="Times New Roman" w:eastAsia="宋体"/>
          <w:sz w:val="21"/>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PX4参考文献"/>
        <w:keepLines/>
        <w:widowControl/>
        <w:ind w:left="442" w:hanging="442"/>
        <w:jc w:val="left"/>
      </w:pPr>
      <w:r>
        <w:rPr>
          <w:rFonts w:ascii="Times New Roman" w:hAnsi="Times New Roman" w:eastAsia="宋体"/>
          <w:sz w:val="21"/>
        </w:rPr>
        <w:t>[16] BRUNTON S L, PROCTOR J L, KUTZ J N. Discovering governing equations from data by sparse identification of nonlinear dynamical systems[J]. Proceedings of the National Academy of Sciences, 2016, 113(15): 3932-3937.</w:t>
      </w:r>
    </w:p>
    <w:p>
      <w:pPr>
        <w:pStyle w:val="PX4参考文献"/>
        <w:keepLines/>
        <w:widowControl/>
        <w:ind w:left="442" w:hanging="442"/>
        <w:jc w:val="left"/>
      </w:pPr>
      <w:r>
        <w:rPr>
          <w:rFonts w:ascii="Times New Roman" w:hAnsi="Times New Roman" w:eastAsia="宋体"/>
          <w:sz w:val="21"/>
        </w:rPr>
        <w:t>[17] RAISSI M, PERDIKARIS P, KARNIADAKIS G E. Physics-informed neural networks: A deep learning framework for solving forward and inverse problems involving nonlinear partial differential equations[J]. Journal of Computational Physics, 2019, 378: 686-707.</w:t>
      </w:r>
    </w:p>
    <w:p>
      <w:pPr>
        <w:pStyle w:val="PX4参考文献"/>
        <w:keepLines/>
        <w:widowControl/>
        <w:ind w:left="442" w:hanging="442"/>
        <w:jc w:val="left"/>
      </w:pPr>
      <w:r>
        <w:rPr>
          <w:rFonts w:ascii="Times New Roman" w:hAnsi="Times New Roman" w:eastAsia="宋体"/>
          <w:sz w:val="21"/>
        </w:rPr>
        <w:t>[18] CHEN R T Q, RUBANOVA Y, BETTENCOURT J, et al. Neural ordinary differential equations[C]//Advances in Neural Information Processing Systems (NeurIPS 2018). Montréal, QC, Canada, 2018: 6571-6583.</w:t>
      </w:r>
    </w:p>
    <w:p>
      <w:pPr>
        <w:pStyle w:val="PX4参考文献"/>
        <w:keepLines/>
        <w:widowControl/>
        <w:ind w:left="442" w:hanging="442"/>
        <w:jc w:val="left"/>
      </w:pPr>
      <w:r>
        <w:rPr>
          <w:rFonts w:ascii="Times New Roman" w:hAnsi="Times New Roman" w:eastAsia="宋体"/>
          <w:sz w:val="21"/>
        </w:rPr>
        <w:t>[19] LIU A, ZHANG X, XIAO F, et al. Koopman-based online identification with Sim2Real transfer for hydrodynamic modeling of turtle-inspired robot[J]. IEEE Robotics and Automation Letters, 2026, 11(6): 6632-6639.</w:t>
      </w:r>
    </w:p>
    <w:p>
      <w:pPr>
        <w:pStyle w:val="PX4参考文献"/>
        <w:keepLines/>
        <w:widowControl/>
        <w:ind w:left="442" w:hanging="442"/>
        <w:jc w:val="left"/>
      </w:pPr>
      <w:r>
        <w:rPr>
          <w:rFonts w:ascii="Times New Roman" w:hAnsi="Times New Roman" w:eastAsia="宋体"/>
          <w:sz w:val="21"/>
        </w:rPr>
        <w:t>[20] YUH J. Design and control of autonomous underwater robots: A survey[J]. Autonomous Robots, 2000, 8(1): 7-24.</w:t>
      </w:r>
    </w:p>
    <w:p>
      <w:pPr>
        <w:pStyle w:val="PX4参考文献"/>
        <w:keepLines/>
        <w:widowControl/>
        <w:ind w:left="442" w:hanging="442"/>
        <w:jc w:val="left"/>
      </w:pPr>
      <w:r>
        <w:rPr>
          <w:rFonts w:ascii="Times New Roman" w:hAnsi="Times New Roman" w:eastAsia="宋体"/>
          <w:sz w:val="21"/>
        </w:rPr>
        <w:t>[21] 朱大奇, 孙兵. 水下机器人运动控制研究进展[J]. 控制与决策, 2012, 27(3): 321-333.</w:t>
      </w:r>
    </w:p>
    <w:p>
      <w:pPr>
        <w:pStyle w:val="PX4参考文献"/>
        <w:keepLines/>
        <w:widowControl/>
        <w:ind w:left="442" w:hanging="442"/>
        <w:jc w:val="left"/>
      </w:pPr>
      <w:r>
        <w:rPr>
          <w:rFonts w:ascii="Times New Roman" w:hAnsi="Times New Roman" w:eastAsia="宋体"/>
          <w:sz w:val="21"/>
        </w:rPr>
        <w:t>[22] YOERGER D R, SLOTINE J J E. Robust trajectory control of underwater vehicles[J]. IEEE Journal of Oceanic Engineering, 1985, 10(4): 462-470.</w:t>
      </w:r>
    </w:p>
    <w:p>
      <w:pPr>
        <w:pStyle w:val="PX4参考文献"/>
        <w:keepLines/>
        <w:widowControl/>
        <w:ind w:left="442" w:hanging="442"/>
        <w:jc w:val="left"/>
      </w:pPr>
      <w:r>
        <w:rPr>
          <w:rFonts w:ascii="Times New Roman" w:hAnsi="Times New Roman" w:eastAsia="宋体"/>
          <w:sz w:val="21"/>
        </w:rPr>
        <w:t>[23] HEALEY A J, LIENARD D. Multivariable sliding mode control for autonomous diving and steering of unmanned underwater vehicles[J]. IEEE Journal of Oceanic Engineering, 1993, 18(3): 327-339.</w:t>
      </w:r>
    </w:p>
    <w:p>
      <w:pPr>
        <w:pStyle w:val="PX4参考文献"/>
        <w:keepLines/>
        <w:widowControl/>
        <w:ind w:left="442" w:hanging="442"/>
        <w:jc w:val="left"/>
      </w:pPr>
      <w:r>
        <w:rPr>
          <w:rFonts w:ascii="Times New Roman" w:hAnsi="Times New Roman" w:eastAsia="宋体"/>
          <w:sz w:val="21"/>
        </w:rPr>
        <w:t>[24] CHU Z, XIANG X, ZHU D, et al. Adaptive trajectory tracking control for remotely operated vehicles considering thruster dynamics and saturation constraints[J]. ISA Transactions, 2020, 100: 28-37.</w:t>
      </w:r>
    </w:p>
    <w:p>
      <w:pPr>
        <w:pStyle w:val="PX4参考文献"/>
        <w:keepLines/>
        <w:widowControl/>
        <w:ind w:left="442" w:hanging="442"/>
        <w:jc w:val="left"/>
      </w:pPr>
      <w:r>
        <w:rPr>
          <w:rFonts w:ascii="Times New Roman" w:hAnsi="Times New Roman" w:eastAsia="宋体"/>
          <w:sz w:val="21"/>
        </w:rPr>
        <w:t>[25] 张磊, 严卫生, 付明玉. 自主水下航行器模型预测控制研究现状与展望[J]. 控制理论与应用, 2018, 35(9): 1181-1192.</w:t>
      </w:r>
    </w:p>
    <w:p>
      <w:pPr>
        <w:pStyle w:val="PX4参考文献"/>
        <w:keepLines/>
        <w:widowControl/>
        <w:ind w:left="442" w:hanging="442"/>
        <w:jc w:val="left"/>
      </w:pPr>
      <w:r>
        <w:rPr>
          <w:rFonts w:ascii="Times New Roman" w:hAnsi="Times New Roman" w:eastAsia="宋体"/>
          <w:sz w:val="21"/>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PX4参考文献"/>
        <w:keepLines/>
        <w:widowControl/>
        <w:ind w:left="442" w:hanging="442"/>
        <w:jc w:val="left"/>
      </w:pPr>
      <w:r>
        <w:rPr>
          <w:rFonts w:ascii="Times New Roman" w:hAnsi="Times New Roman" w:eastAsia="宋体"/>
          <w:sz w:val="21"/>
        </w:rPr>
        <w:t>[27] HESHMATI-ALAMDARI S, NIKOU A, DIMAROGONAS D V. Robust trajectory tracking control for underactuated autonomous underwater vehicles in uncertain environments[J]. IEEE Transactions on Automation Science and Engineering, 2020, 18(3): 1288-1301.</w:t>
      </w:r>
    </w:p>
    <w:p>
      <w:pPr>
        <w:pStyle w:val="PX4参考文献"/>
        <w:keepLines/>
        <w:widowControl/>
        <w:ind w:left="442" w:hanging="442"/>
        <w:jc w:val="left"/>
      </w:pPr>
      <w:r>
        <w:rPr>
          <w:rFonts w:ascii="Times New Roman" w:hAnsi="Times New Roman" w:eastAsia="宋体"/>
          <w:sz w:val="21"/>
        </w:rPr>
        <w:t>[28] JOHANSEN T A, FOSSEN T I. Control allocation: A survey[J]. Automatica, 2013, 49(5): 1087-1103.</w:t>
      </w:r>
    </w:p>
    <w:p>
      <w:pPr>
        <w:pStyle w:val="PX4参考文献"/>
        <w:keepLines/>
        <w:widowControl/>
        <w:ind w:left="442" w:hanging="442"/>
        <w:jc w:val="left"/>
      </w:pPr>
      <w:r>
        <w:rPr>
          <w:rFonts w:ascii="Times New Roman" w:hAnsi="Times New Roman" w:eastAsia="宋体"/>
          <w:sz w:val="21"/>
        </w:rPr>
        <w:t>[29] BODSON M. Evaluation of optimization methods for control allocation[J]. Journal of Guidance, Control, and Dynamics, 2002, 25(4): 703-711.</w:t>
      </w:r>
    </w:p>
    <w:p>
      <w:pPr>
        <w:pStyle w:val="PX4参考文献"/>
        <w:keepLines/>
        <w:widowControl/>
        <w:ind w:left="442" w:hanging="442"/>
        <w:jc w:val="left"/>
      </w:pPr>
      <w:r>
        <w:rPr>
          <w:rFonts w:ascii="Times New Roman" w:hAnsi="Times New Roman" w:eastAsia="宋体"/>
          <w:sz w:val="21"/>
        </w:rPr>
        <w:t>[30] HÄRKEGÅRD O. Efficient active set algorithms for solving constrained linear quadratic control allocation problems[J]. Journal of Guidance, Control, and Dynamics, 2002, 25(5): 827-835.</w:t>
      </w:r>
    </w:p>
    <w:p>
      <w:pPr>
        <w:pStyle w:val="PX4参考文献"/>
        <w:keepLines/>
        <w:widowControl/>
        <w:ind w:left="442" w:hanging="442"/>
        <w:jc w:val="left"/>
      </w:pPr>
      <w:r>
        <w:rPr>
          <w:rFonts w:ascii="Times New Roman" w:hAnsi="Times New Roman" w:eastAsia="宋体"/>
          <w:sz w:val="21"/>
        </w:rPr>
        <w:t>[31] 程卫平, 王猛, 曾现敏, 等. 基于可行方向法的水下机器人推力分配[J]. 舰船科学技术, 2022, 44(13): 102-106.</w:t>
      </w:r>
    </w:p>
    <w:p>
      <w:pPr>
        <w:pStyle w:val="PX4参考文献"/>
        <w:keepLines/>
        <w:widowControl/>
        <w:ind w:left="442" w:hanging="442"/>
        <w:jc w:val="left"/>
      </w:pPr>
      <w:r>
        <w:rPr>
          <w:rFonts w:ascii="Times New Roman" w:hAnsi="Times New Roman" w:eastAsia="宋体"/>
          <w:sz w:val="21"/>
        </w:rPr>
        <w:t>[32] 孙功武, 苏义鑫, 毛英, 等. 基于模糊逻辑的混合推进ROV多级推力分配策略[J]. 机器人, 2023, 45(4): 472-482.</w:t>
      </w:r>
    </w:p>
    <w:p>
      <w:pPr>
        <w:pStyle w:val="PX4参考文献"/>
        <w:keepLines/>
        <w:widowControl/>
        <w:ind w:left="442" w:hanging="442"/>
        <w:jc w:val="left"/>
      </w:pPr>
      <w:r>
        <w:rPr>
          <w:rFonts w:ascii="Times New Roman" w:hAnsi="Times New Roman" w:eastAsia="宋体"/>
          <w:sz w:val="21"/>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pPr>
        <w:pStyle w:val="PX4参考文献"/>
        <w:keepLines/>
        <w:widowControl/>
        <w:ind w:left="442" w:hanging="442"/>
        <w:jc w:val="left"/>
      </w:pPr>
      <w:r>
        <w:rPr>
          <w:rFonts w:ascii="Times New Roman" w:hAnsi="Times New Roman" w:eastAsia="宋体"/>
          <w:sz w:val="21"/>
        </w:rPr>
        <w:t>[34] MEIER L, HONEGGER D, POLLEFEYS M. PX4: A node-based multithreaded open source robotics framework for deeply embedded platforms[C]//2015 IEEE International Conference on Robotics and Automation (ICRA). Seattle, WA, USA: IEEE, 2015: 6235-6240.</w:t>
      </w:r>
    </w:p>
    <w:p>
      <w:pPr>
        <w:pStyle w:val="PX4参考文献"/>
        <w:keepLines/>
        <w:widowControl/>
        <w:ind w:left="442" w:hanging="442"/>
        <w:jc w:val="left"/>
      </w:pPr>
      <w:r>
        <w:rPr>
          <w:rFonts w:ascii="Times New Roman" w:hAnsi="Times New Roman" w:eastAsia="宋体"/>
          <w:sz w:val="21"/>
        </w:rPr>
        <w:t>[35] PX4 Development Team. Control Allocation (Mixing)[EB/OL]. [2026-10-10]. https://docs.px4.io/main/en/concept/control_allocation.</w:t>
      </w:r>
    </w:p>
    <w:p>
      <w:pPr>
        <w:pStyle w:val="PX4参考文献"/>
        <w:keepLines/>
        <w:widowControl/>
        <w:ind w:left="442" w:hanging="442"/>
        <w:jc w:val="left"/>
      </w:pPr>
      <w:r>
        <w:rPr>
          <w:rFonts w:ascii="Times New Roman" w:hAnsi="Times New Roman" w:eastAsia="宋体"/>
          <w:sz w:val="21"/>
        </w:rPr>
        <w:t>[36] PX4 Development Team. BlueROV2 (UUV)[EB/OL]. [2026-10-10]. https://docs.px4.io/main/en/frames_sub/bluerov2.</w:t>
      </w:r>
    </w:p>
    <w:p>
      <w:pPr>
        <w:pStyle w:val="PX4参考文献"/>
        <w:keepLines/>
        <w:widowControl/>
        <w:ind w:left="442" w:hanging="442"/>
        <w:jc w:val="left"/>
      </w:pPr>
      <w:r>
        <w:rPr>
          <w:rFonts w:ascii="Times New Roman" w:hAnsi="Times New Roman" w:eastAsia="宋体"/>
          <w:sz w:val="21"/>
        </w:rPr>
        <w:t>[37] PX4 Development Team. Offboard Mode (Generic/All Frames)[EB/OL]. [2026-10-10]. https://docs.px4.io/main/en/flight_modes/offboard.</w:t>
      </w:r>
    </w:p>
    <w:bookmarkEnd w:id="31"/>
    <w:sectPr>
      <w:footerReference w:type="default" r:id="rId7"/>
      <w:pgSz w:w="11907" w:h="16840"/>
      <w:pgMar w:top="1304" w:right="1797" w:bottom="567" w:left="1797" w:header="720" w:footer="720" w:gutter="0"/>
      <w:cols w:space="425" w:num="1"/>
      <w:titlePg/>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8"/>
      </w:rPr>
      <w:t xml:space="preserve">— </w:t>
    </w:r>
    <w:r>
      <w:rPr>
        <w:sz w:val="18"/>
      </w:rPr>
      <w:fldChar w:fldCharType="begin"/>
    </w:r>
    <w:r>
      <w:instrText xml:space="preserve"> PAGE </w:instrText>
    </w:r>
    <w:r>
      <w:fldChar w:fldCharType="end"/>
    </w:r>
    <w:r>
      <w:rPr>
        <w:rFonts w:ascii="Times New Roman" w:hAnsi="Times New Roman"/>
        <w:sz w:val="18"/>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7E50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 w:type="paragraph" w:customStyle="1" w:styleId="PX4节标题">
    <w:name w:val="PX4节标题"/>
    <w:basedOn w:val="1"/>
    <w:pPr>
      <w:keepNext/>
      <w:spacing w:line="336" w:lineRule="auto" w:before="160" w:after="120"/>
    </w:pPr>
    <w:rPr>
      <w:rFonts w:ascii="黑体" w:hAnsi="黑体" w:eastAsia="黑体"/>
      <w:b/>
      <w:sz w:val="28"/>
    </w:rPr>
  </w:style>
  <w:style w:type="paragraph" w:customStyle="1" w:styleId="PX4二级标题">
    <w:name w:val="PX4二级标题"/>
    <w:basedOn w:val="1"/>
    <w:pPr>
      <w:keepNext/>
      <w:spacing w:line="348" w:lineRule="auto" w:before="140" w:after="80"/>
    </w:pPr>
    <w:rPr>
      <w:rFonts w:ascii="黑体" w:hAnsi="黑体" w:eastAsia="黑体"/>
      <w:b/>
      <w:sz w:val="24"/>
    </w:rPr>
  </w:style>
  <w:style w:type="paragraph" w:customStyle="1" w:styleId="PX4三级标题">
    <w:name w:val="PX4三级标题"/>
    <w:basedOn w:val="1"/>
    <w:pPr>
      <w:keepNext/>
      <w:spacing w:line="336" w:lineRule="auto" w:before="160" w:after="60"/>
    </w:pPr>
    <w:rPr>
      <w:rFonts w:ascii="黑体" w:hAnsi="黑体" w:eastAsia="黑体"/>
      <w:b/>
      <w:sz w:val="24"/>
    </w:rPr>
  </w:style>
  <w:style w:type="paragraph" w:customStyle="1" w:styleId="PX4正文">
    <w:name w:val="PX4正文"/>
    <w:basedOn w:val="1"/>
    <w:pPr>
      <w:keepNext w:val="0"/>
      <w:spacing w:line="360" w:lineRule="auto" w:before="0" w:after="0"/>
      <w:ind w:firstLine="480"/>
    </w:pPr>
    <w:rPr>
      <w:rFonts w:ascii="Times New Roman" w:hAnsi="Times New Roman" w:eastAsia="宋体"/>
      <w:b w:val="0"/>
      <w:sz w:val="24"/>
    </w:rPr>
  </w:style>
  <w:style w:type="paragraph" w:customStyle="1" w:styleId="PX4公式">
    <w:name w:val="PX4公式"/>
    <w:basedOn w:val="1"/>
    <w:pPr>
      <w:keepNext w:val="0"/>
      <w:spacing w:line="288" w:lineRule="auto" w:before="100" w:after="120"/>
    </w:pPr>
    <w:rPr>
      <w:rFonts w:ascii="Times New Roman" w:hAnsi="Times New Roman" w:eastAsia="Times New Roman"/>
      <w:b w:val="0"/>
      <w:sz w:val="24"/>
    </w:rPr>
  </w:style>
  <w:style w:type="paragraph" w:customStyle="1" w:styleId="PX4参考文献">
    <w:name w:val="PX4参考文献"/>
    <w:basedOn w:val="1"/>
    <w:pPr>
      <w:keepNext w:val="0"/>
      <w:spacing w:line="300" w:lineRule="auto" w:before="0" w:after="60"/>
    </w:pPr>
    <w:rPr>
      <w:rFonts w:ascii="Times New Roman" w:hAnsi="Times New Roman" w:eastAsia="宋体"/>
      <w:b w:val="0"/>
      <w:sz w:val="21"/>
    </w:rPr>
  </w:style>
  <w:style w:type="paragraph" w:customStyle="1" w:styleId="PX4占位">
    <w:name w:val="PX4占位"/>
    <w:basedOn w:val="1"/>
    <w:pPr>
      <w:keepNext w:val="0"/>
      <w:spacing w:line="324" w:lineRule="auto" w:before="0" w:after="120"/>
      <w:ind w:firstLine="480"/>
    </w:pPr>
    <w:rPr>
      <w:rFonts w:ascii="Times New Roman" w:hAnsi="Times New Roman" w:eastAsia="宋体"/>
      <w:b w:val="0"/>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11</Pages>
  <Words>6209</Words>
  <Characters>10865</Characters>
  <Lines>82</Lines>
  <Paragraphs>45</Paragraphs>
  <TotalTime>29</TotalTime>
  <ScaleCrop>false</ScaleCrop>
  <LinksUpToDate>false</LinksUpToDate>
  <CharactersWithSpaces>11769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2026-10-10T16:13:08Z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974D0B8056AD4BE78BEEB6D17871E013_12</vt:lpwstr>
  </property>
</Properties>
</file>