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bookmarkStart w:id="26" w:name="一毕业论文课题背景"/>
    <w:p>
      <w:pPr>
        <w:pStyle w:val="PX4节标题"/>
        <w:pageBreakBefore/>
        <w:widowControl/>
        <w:ind w:firstLine="0"/>
        <w:jc w:val="left"/>
      </w:pPr>
      <w:r>
        <w:rPr>
          <w:rFonts w:ascii="Times New Roman" w:hAnsi="Times New Roman" w:eastAsia="黑体"/>
          <w:sz w:val="24"/>
        </w:rPr>
        <w:t xml:space="preserve">一、毕业论文课题背景</w:t>
      </w:r>
    </w:p>
    <w:bookmarkStart w:id="20" w:name="课题来源及研究的目的和意义"/>
    <w:p>
      <w:pPr>
        <w:pStyle w:val="PX4二级标题"/>
        <w:widowControl/>
        <w:ind w:firstLine="0"/>
        <w:jc w:val="left"/>
      </w:pPr>
      <w:r>
        <w:rPr>
          <w:rFonts w:ascii="Times New Roman" w:hAnsi="Times New Roman" w:eastAsia="黑体"/>
          <w:sz w:val="24"/>
        </w:rPr>
        <w:t xml:space="preserve">1．课题来源及研究的目的和意义</w:t>
      </w:r>
    </w:p>
    <w:p>
      <w:pPr>
        <w:pStyle w:val="PX4正文"/>
        <w:widowControl/>
        <w:ind w:firstLine="480"/>
        <w:jc w:val="both"/>
      </w:pPr>
      <w:r>
        <w:rPr>
          <w:rFonts w:ascii="Times New Roman" w:hAnsi="Times New Roman" w:eastAsia="宋体"/>
          <w:sz w:val="24"/>
        </w:rPr>
        <w:t>随着“海洋强国”战略的推进，水下基础设施的安全运维对小型水下航行器提出了更高要求。《“十四五”机器人产业发展规划》[1]将水下探测、监测和作业机器人纳入特种机器人重点发展方向；《“机器人+”应用行动实施方案》[2]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PX4正文"/>
        <w:widowControl/>
        <w:ind w:firstLine="480"/>
        <w:jc w:val="both"/>
      </w:pPr>
      <w:r>
        <w:rPr>
          <w:rFonts w:ascii="Times New Roman" w:hAnsi="Times New Roman" w:eastAsia="宋体"/>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[3]；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PX4正文"/>
        <w:widowControl/>
        <w:ind w:firstLine="480"/>
        <w:jc w:val="both"/>
      </w:pPr>
      <w:r>
        <w:rPr>
          <w:rFonts w:ascii="Times New Roman" w:hAnsi="Times New Roman" w:eastAsia="宋体"/>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[4]。因此，面向具体航行器的动力学特性及推进器约束，在PX4相关环境中开展MPC算法的适配与验证具有研究价值。</w:t>
      </w:r>
    </w:p>
    <w:bookmarkEnd w:id="20"/>
    <w:bookmarkStart w:id="25" w:name="国内外在该方向的研究现状和发展趋势"/>
    <w:p>
      <w:pPr>
        <w:pStyle w:val="PX4二级标题"/>
        <w:widowControl/>
        <w:ind w:firstLine="0"/>
        <w:jc w:val="left"/>
      </w:pPr>
      <w:r>
        <w:rPr>
          <w:rFonts w:ascii="Times New Roman" w:hAnsi="Times New Roman" w:eastAsia="黑体"/>
          <w:sz w:val="24"/>
        </w:rPr>
        <w:t xml:space="preserve">2．国内外在该方向的研究现状和发展趋势</w:t>
      </w:r>
    </w:p>
    <w:p>
      <w:pPr>
        <w:pStyle w:val="PX4正文"/>
        <w:widowControl/>
        <w:ind w:firstLine="480"/>
        <w:jc w:val="both"/>
      </w:pPr>
      <w:r>
        <w:rPr>
          <w:rFonts w:ascii="Times New Roman" w:hAnsi="Times New Roman" w:eastAsia="宋体"/>
          <w:sz w:val="24"/>
        </w:rPr>
        <w:t>水下航行器的应用场景正从常规航迹跟踪向多自由度低速精细作业快速演进。面向水下结构检测、精密取样与狭域定位保持等任务的八推进器全向航行器（如 BlueROV2 Heavy 构型），在复杂扰动环境下对动力学预测精度、受约束控制质量与飞控平台承载能力提出了更高的系统性要求。为此，本节沿三条相互支撑的技术主线展开梳理：其一，水下航行器动力学建模与参数辨识——为控制器提供高精度预测模型基础；其二，多推进器受约束运动控制与推力分配——解决多自由度耦合、执行器饱和与分配多解性问题；其三，PX4 开源飞控水下适配与闭环仿真验证——实现算法从理论研究向工程系统的高置信度迁移。三条主线的研究进展与相互依赖关系共同构成本课题的学术背景。</w:t>
      </w:r>
    </w:p>
    <w:bookmarkStart w:id="21" w:name="水下航行器动力学建模与参数辨识研究现状"/>
    <w:p>
      <w:pPr>
        <w:pStyle w:val="PX4三级标题"/>
        <w:widowControl/>
        <w:ind w:firstLine="0"/>
        <w:jc w:val="left"/>
      </w:pPr>
      <w:r>
        <w:rPr>
          <w:rFonts w:ascii="Times New Roman" w:hAnsi="Times New Roman" w:eastAsia="黑体"/>
          <w:sz w:val="24"/>
        </w:rPr>
        <w:t xml:space="preserve">2.1 水下航行器动力学建模与参数辨识研究现状</w:t>
      </w:r>
    </w:p>
    <w:p>
      <w:pPr>
        <w:pStyle w:val="PX4正文"/>
        <w:widowControl/>
        <w:ind w:firstLine="480"/>
        <w:jc w:val="both"/>
      </w:pPr>
      <w:r>
        <w:rPr>
          <w:rFonts w:ascii="Times New Roman" w:hAnsi="Times New Roman" w:eastAsia="宋体"/>
          <w:sz w:val="24"/>
        </w:rPr>
        <w:t>水下航行器工作于强流体扰动、高阶六自由度非线性耦合的复杂物理环境中。与无人机或地面机器人不同，航行器所受附加质量力、流体阻尼及流体动压耦合效应均随速度、姿态和浮液特性发生显著变化，导致精确建模与高效在线计算之间长期存在内在矛盾。控制导向动力学模型的核心目标，在于以可接受的计算开销获得足够的预测精度，为运动控制器提供可靠的状态预测依据。围绕这一目标，学界形成了机理建模、试验辨识与数据驱动三条并行推进的技术路线，并逐步向物理引导的灰箱建模融合演进。</w:t>
      </w:r>
    </w:p>
    <w:p>
      <w:pPr>
        <w:pStyle w:val="PX4正文"/>
        <w:widowControl/>
        <w:ind w:firstLine="480"/>
        <w:jc w:val="both"/>
      </w:pPr>
      <w:r>
        <w:rPr>
          <w:rFonts w:ascii="Times New Roman" w:hAnsi="Times New Roman" w:eastAsia="宋体"/>
          <w:sz w:val="24"/>
        </w:rPr>
        <w:t xml:space="preserve">在机理建模方面，Fossen[5]以牛顿—欧拉方程和SNAME坐标约定为基础，建立了六自由度非线性动力学的标准表达；严卫生等[6]推进了相关理论在水下航行器运动分析与控制中的系统应用。令惯性坐标系位姿为</w:t>
      </w:r>
      <m:oMath>
        <m:r>
          <m:t>η</m:t>
        </m:r>
        <m:r>
          <m:rPr>
            <m:sty m:val="p"/>
          </m:rPr>
          <m:t>=</m:t>
        </m:r>
        <m:sSup>
          <m:e>
            <m:d>
              <m:dPr>
                <m:begChr m:val="["/>
                <m:endChr m:val="]"/>
                <m:sepChr m:val=""/>
                <m:grow/>
              </m:dPr>
              <m:e>
                <m:r>
                  <m:t>x</m:t>
                </m:r>
                <m:r>
                  <m:rPr>
                    <m:sty m:val="p"/>
                  </m:rPr>
                  <m:t>,</m:t>
                </m:r>
                <m:r>
                  <m:t>y</m:t>
                </m:r>
                <m:r>
                  <m:rPr>
                    <m:sty m:val="p"/>
                  </m:rPr>
                  <m:t>,</m:t>
                </m:r>
                <m:r>
                  <m:t>z</m:t>
                </m:r>
                <m:r>
                  <m:rPr>
                    <m:sty m:val="p"/>
                  </m:rPr>
                  <m:t>,</m:t>
                </m:r>
                <m:r>
                  <m:t>ϕ</m:t>
                </m:r>
                <m:r>
                  <m:rPr>
                    <m:sty m:val="p"/>
                  </m:rPr>
                  <m:t>,</m:t>
                </m:r>
                <m:r>
                  <m:t>θ</m:t>
                </m:r>
                <m:r>
                  <m:rPr>
                    <m:sty m:val="p"/>
                  </m:rPr>
                  <m:t>,</m:t>
                </m:r>
                <m:r>
                  <m:t>ψ</m:t>
                </m:r>
              </m:e>
            </m:d>
          </m:e>
          <m:sup>
            <m:r>
              <m:t>T</m:t>
            </m:r>
          </m:sup>
        </m:sSup>
      </m:oMath>
      <w:r>
        <w:rPr>
          <w:rFonts w:ascii="Times New Roman" w:hAnsi="Times New Roman" w:eastAsia="宋体"/>
          <w:sz w:val="24"/>
        </w:rPr>
        <w:t xml:space="preserve">，艇体坐标系线速度与角速度为</w:t>
      </w:r>
      <m:oMath>
        <m:r>
          <m:t>ν</m:t>
        </m:r>
        <m:r>
          <m:rPr>
            <m:sty m:val="p"/>
          </m:rPr>
          <m:t>=</m:t>
        </m:r>
        <m:sSup>
          <m:e>
            <m:d>
              <m:dPr>
                <m:begChr m:val="["/>
                <m:endChr m:val="]"/>
                <m:sepChr m:val=""/>
                <m:grow/>
              </m:dPr>
              <m:e>
                <m:r>
                  <m:t>u</m:t>
                </m:r>
                <m:r>
                  <m:rPr>
                    <m:sty m:val="p"/>
                  </m:rPr>
                  <m:t>,</m:t>
                </m:r>
                <m:r>
                  <m:t>v</m:t>
                </m:r>
                <m:r>
                  <m:rPr>
                    <m:sty m:val="p"/>
                  </m:rPr>
                  <m:t>,</m:t>
                </m:r>
                <m:r>
                  <m:t>w</m:t>
                </m:r>
                <m:r>
                  <m:rPr>
                    <m:sty m:val="p"/>
                  </m:rPr>
                  <m:t>,</m:t>
                </m:r>
                <m:r>
                  <m:t>p</m:t>
                </m:r>
                <m:r>
                  <m:rPr>
                    <m:sty m:val="p"/>
                  </m:rPr>
                  <m:t>,</m:t>
                </m:r>
                <m:r>
                  <m:t>q</m:t>
                </m:r>
                <m:r>
                  <m:rPr>
                    <m:sty m:val="p"/>
                  </m:rPr>
                  <m:t>,</m:t>
                </m:r>
                <m:r>
                  <m:t>r</m:t>
                </m:r>
              </m:e>
            </m:d>
          </m:e>
          <m:sup>
            <m:r>
              <m:t>T</m:t>
            </m:r>
          </m:sup>
        </m:sSup>
      </m:oMath>
      <w:r>
        <w:rPr>
          <w:rFonts w:ascii="Times New Roman" w:hAnsi="Times New Roman" w:eastAsia="宋体"/>
          <w:sz w:val="24"/>
        </w:rPr>
        <w:t xml:space="preserve">，运动学满足</w:t>
      </w:r>
      <m:oMath>
        <m:acc>
          <m:accPr>
            <m:chr m:val="̇"/>
          </m:accPr>
          <m:e>
            <m:r>
              <m:t>η</m:t>
            </m:r>
          </m:e>
        </m:acc>
        <m:r>
          <m:rPr>
            <m:sty m:val="p"/>
          </m:rPr>
          <m:t>=</m:t>
        </m:r>
        <m:r>
          <m:t>J</m:t>
        </m:r>
        <m:d>
          <m:dPr>
            <m:begChr m:val="("/>
            <m:endChr m:val=")"/>
            <m:sepChr m:val=""/>
            <m:grow/>
          </m:dPr>
          <m:e>
            <m:r>
              <m:t>η</m:t>
            </m:r>
          </m:e>
        </m:d>
        <m:r>
          <m:t>ν</m:t>
        </m:r>
      </m:oMath>
      <w:r>
        <w:rPr>
          <w:rFonts w:ascii="Times New Roman" w:hAnsi="Times New Roman" w:eastAsia="宋体"/>
          <w:sz w:val="24"/>
        </w:rPr>
        <w:t xml:space="preserve">。</w:t>
      </w:r>
    </w:p>
    <w:p>
      <w:pPr>
        <w:pStyle w:val="PX4正文"/>
        <w:keepNext/>
        <w:widowControl/>
        <w:ind w:firstLine="480"/>
        <w:jc w:val="both"/>
      </w:pPr>
      <w:r>
        <w:rPr>
          <w:rFonts w:ascii="Times New Roman" w:hAnsi="Times New Roman" w:eastAsia="宋体"/>
          <w:sz w:val="24"/>
        </w:rPr>
        <w:t xml:space="preserve">不显式分离环境外力时，其六自由度标准动力学方程为：</w:t>
      </w:r>
    </w:p>
    <w:p>
      <w:pPr>
        <w:pStyle w:val="PX4公式"/>
        <w:keepLines/>
        <w:widowControl/>
        <w:ind w:firstLine="0"/>
        <w:jc w:val="center"/>
      </w:pPr>
      <m:oMathPara>
        <m:oMathParaPr>
          <m:jc m:val="center"/>
        </m:oMathParaPr>
        <m:oMath>
          <m:r>
            <m:t>M</m:t>
          </m:r>
          <m:acc>
            <m:accPr>
              <m:chr m:val="̇"/>
            </m:accPr>
            <m:e>
              <m:r>
                <m:t>ν</m:t>
              </m:r>
            </m:e>
          </m:acc>
          <m:r>
            <m:rPr>
              <m:sty m:val="p"/>
            </m:rPr>
            <m:t>+</m:t>
          </m:r>
          <m:r>
            <m:t>C</m:t>
          </m:r>
          <m:d>
            <m:dPr>
              <m:begChr m:val="("/>
              <m:endChr m:val=")"/>
              <m:sepChr m:val=""/>
              <m:grow/>
            </m:dPr>
            <m:e>
              <m:r>
                <m:t>ν</m:t>
              </m:r>
            </m:e>
          </m:d>
          <m:r>
            <m:t>ν</m:t>
          </m:r>
          <m:r>
            <m:rPr>
              <m:sty m:val="p"/>
            </m:rPr>
            <m:t>+</m:t>
          </m:r>
          <m:r>
            <m:t>D</m:t>
          </m:r>
          <m:d>
            <m:dPr>
              <m:begChr m:val="("/>
              <m:endChr m:val=")"/>
              <m:sepChr m:val=""/>
              <m:grow/>
            </m:dPr>
            <m:e>
              <m:r>
                <m:t>ν</m:t>
              </m:r>
            </m:e>
          </m:d>
          <m:r>
            <m:t>ν</m:t>
          </m:r>
          <m:r>
            <m:rPr>
              <m:sty m:val="p"/>
            </m:rPr>
            <m:t>+</m:t>
          </m:r>
          <m:r>
            <m:t>g</m:t>
          </m:r>
          <m:d>
            <m:dPr>
              <m:begChr m:val="("/>
              <m:endChr m:val=")"/>
              <m:sepChr m:val=""/>
              <m:grow/>
            </m:dPr>
            <m:e>
              <m:r>
                <m:t>η</m:t>
              </m:r>
            </m:e>
          </m:d>
          <m:r>
            <m:rPr>
              <m:sty m:val="p"/>
            </m:rPr>
            <m:t>=</m:t>
          </m:r>
          <m:r>
            <m:t>τ</m:t>
          </m:r>
        </m:oMath>
      </m:oMathPara>
    </w:p>
    <w:p>
      <w:pPr>
        <w:pStyle w:val="PX4正文"/>
        <w:widowControl/>
        <w:ind w:firstLine="480"/>
        <w:jc w:val="both"/>
      </w:pPr>
      <w:r>
        <w:rPr>
          <w:rFonts w:ascii="Times New Roman" w:hAnsi="Times New Roman" w:eastAsia="宋体"/>
          <w:sz w:val="24"/>
        </w:rPr>
        <w:t xml:space="preserve">式中，</w:t>
      </w:r>
      <m:oMath>
        <m:r>
          <m:t>M</m:t>
        </m:r>
        <m:r>
          <m:rPr>
            <m:sty m:val="p"/>
          </m:rPr>
          <m:t>=</m:t>
        </m:r>
        <m:sSub>
          <m:e>
            <m:r>
              <m:t>M</m:t>
            </m:r>
          </m:e>
          <m:sub>
            <m:r>
              <m:t>R</m:t>
            </m:r>
            <m:r>
              <m:t>B</m:t>
            </m:r>
          </m:sub>
        </m:sSub>
        <m:r>
          <m:rPr>
            <m:sty m:val="p"/>
          </m:rPr>
          <m:t>+</m:t>
        </m:r>
        <m:sSub>
          <m:e>
            <m:r>
              <m:t>M</m:t>
            </m:r>
          </m:e>
          <m:sub>
            <m:r>
              <m:t>A</m:t>
            </m:r>
          </m:sub>
        </m:sSub>
        <m:r>
          <m:rPr>
            <m:sty m:val="p"/>
          </m:rPr>
          <m:t>∈</m:t>
        </m:r>
        <m:sSup>
          <m:e>
            <m:r>
              <m:rPr>
                <m:sty m:val="p"/>
                <m:scr m:val="double-struck"/>
              </m:rPr>
              <m:t>R</m:t>
            </m:r>
          </m:e>
          <m:sup>
            <m:r>
              <m:t>6</m:t>
            </m:r>
            <m:r>
              <m:rPr>
                <m:sty m:val="p"/>
              </m:rPr>
              <m:t>×</m:t>
            </m:r>
            <m:r>
              <m:t>6</m:t>
            </m:r>
          </m:sup>
        </m:sSup>
      </m:oMath>
      <w:r>
        <w:rPr>
          <w:rFonts w:ascii="Times New Roman" w:hAnsi="Times New Roman" w:eastAsia="宋体"/>
          <w:sz w:val="24"/>
        </w:rPr>
        <w:t xml:space="preserve">为刚体惯性矩阵</w:t>
      </w:r>
      <m:oMath>
        <m:sSub>
          <m:e>
            <m:r>
              <m:t>M</m:t>
            </m:r>
          </m:e>
          <m:sub>
            <m:r>
              <m:t>R</m:t>
            </m:r>
            <m:r>
              <m:t>B</m:t>
            </m:r>
          </m:sub>
        </m:sSub>
      </m:oMath>
      <w:r>
        <w:rPr>
          <w:rFonts w:ascii="Times New Roman" w:hAnsi="Times New Roman" w:eastAsia="宋体"/>
          <w:sz w:val="24"/>
        </w:rPr>
        <w:t xml:space="preserve">与流体附加质量矩阵</w:t>
      </w:r>
      <m:oMath>
        <m:sSub>
          <m:e>
            <m:r>
              <m:t>M</m:t>
            </m:r>
          </m:e>
          <m:sub>
            <m:r>
              <m:t>A</m:t>
            </m:r>
          </m:sub>
        </m:sSub>
      </m:oMath>
      <w:r>
        <w:rPr>
          <w:rFonts w:ascii="Times New Roman" w:hAnsi="Times New Roman" w:eastAsia="宋体"/>
          <w:sz w:val="24"/>
        </w:rPr>
        <w:t xml:space="preserve">之和，后者反映航行器加速时周围流体共同运动产生的惯性效应；</w:t>
      </w:r>
      <m:oMath>
        <m:r>
          <m:t>C</m:t>
        </m:r>
        <m:d>
          <m:dPr>
            <m:begChr m:val="("/>
            <m:endChr m:val=")"/>
            <m:sepChr m:val=""/>
            <m:grow/>
          </m:dPr>
          <m:e>
            <m:r>
              <m:t>ν</m:t>
            </m:r>
          </m:e>
        </m:d>
        <m:r>
          <m:rPr>
            <m:sty m:val="p"/>
          </m:rPr>
          <m:t>=</m:t>
        </m:r>
        <m:sSub>
          <m:e>
            <m:r>
              <m:t>C</m:t>
            </m:r>
          </m:e>
          <m:sub>
            <m:r>
              <m:t>R</m:t>
            </m:r>
            <m:r>
              <m:t>B</m:t>
            </m:r>
          </m:sub>
        </m:sSub>
        <m:d>
          <m:dPr>
            <m:begChr m:val="("/>
            <m:endChr m:val=")"/>
            <m:sepChr m:val=""/>
            <m:grow/>
          </m:dPr>
          <m:e>
            <m:r>
              <m:t>ν</m:t>
            </m:r>
          </m:e>
        </m:d>
        <m:r>
          <m:rPr>
            <m:sty m:val="p"/>
          </m:rPr>
          <m:t>+</m:t>
        </m:r>
        <m:sSub>
          <m:e>
            <m:r>
              <m:t>C</m:t>
            </m:r>
          </m:e>
          <m:sub>
            <m:r>
              <m:t>A</m:t>
            </m:r>
          </m:sub>
        </m:sSub>
        <m:d>
          <m:dPr>
            <m:begChr m:val="("/>
            <m:endChr m:val=")"/>
            <m:sepChr m:val=""/>
            <m:grow/>
          </m:dPr>
          <m:e>
            <m:r>
              <m:t>ν</m:t>
            </m:r>
          </m:e>
        </m:d>
      </m:oMath>
      <w:r>
        <w:rPr>
          <w:rFonts w:ascii="Times New Roman" w:hAnsi="Times New Roman" w:eastAsia="宋体"/>
          <w:sz w:val="24"/>
        </w:rPr>
        <w:t xml:space="preserve">为与刚体及附加质量有关的科里奥利—向心矩阵；</w:t>
      </w:r>
      <m:oMath>
        <m:r>
          <m:t>D</m:t>
        </m:r>
        <m:d>
          <m:dPr>
            <m:begChr m:val="("/>
            <m:endChr m:val=")"/>
            <m:sepChr m:val=""/>
            <m:grow/>
          </m:dPr>
          <m:e>
            <m:r>
              <m:t>ν</m:t>
            </m:r>
          </m:e>
        </m:d>
      </m:oMath>
      <w:r>
        <w:rPr>
          <w:rFonts w:ascii="Times New Roman" w:hAnsi="Times New Roman" w:eastAsia="宋体"/>
          <w:sz w:val="24"/>
        </w:rPr>
        <w:t xml:space="preserve">刻画黏性摩擦、涡脱落及线性/二次速度阻尼；</w:t>
      </w:r>
      <m:oMath>
        <m:r>
          <m:t>g</m:t>
        </m:r>
        <m:d>
          <m:dPr>
            <m:begChr m:val="("/>
            <m:endChr m:val=")"/>
            <m:sepChr m:val=""/>
            <m:grow/>
          </m:dPr>
          <m:e>
            <m:r>
              <m:t>η</m:t>
            </m:r>
          </m:e>
        </m:d>
      </m:oMath>
      <w:r>
        <w:rPr>
          <w:rFonts w:ascii="Times New Roman" w:hAnsi="Times New Roman" w:eastAsia="宋体"/>
          <w:sz w:val="24"/>
        </w:rPr>
        <w:t xml:space="preserve">表示重力、浮力及重心—浮心偏置形成的静水恢复力与力矩；</w:t>
      </w:r>
      <m:oMath>
        <m:r>
          <m:t>τ</m:t>
        </m:r>
      </m:oMath>
      <w:r>
        <w:rPr>
          <w:rFonts w:ascii="Times New Roman" w:hAnsi="Times New Roman" w:eastAsia="宋体"/>
          <w:sz w:val="24"/>
        </w:rPr>
        <w:t xml:space="preserve">为六维广义推进力。考虑水流时阻尼通常应使用相对流速</w:t>
      </w:r>
      <m:oMath>
        <m:sSub>
          <m:e>
            <m:r>
              <m:t>ν</m:t>
            </m:r>
          </m:e>
          <m:sub>
            <m:r>
              <m:t>r</m:t>
            </m:r>
          </m:sub>
        </m:sSub>
      </m:oMath>
      <w:r>
        <w:rPr>
          <w:rFonts w:ascii="Times New Roman" w:hAnsi="Times New Roman" w:eastAsia="宋体"/>
          <w:sz w:val="24"/>
        </w:rPr>
        <w:t xml:space="preserve">，外部扰动亦可单独写为</w:t>
      </w:r>
      <m:oMath>
        <m:sSub>
          <m:e>
            <m:r>
              <m:t>τ</m:t>
            </m:r>
          </m:e>
          <m:sub>
            <m:r>
              <m:t>e</m:t>
            </m:r>
            <m:r>
              <m:t>n</m:t>
            </m:r>
            <m:r>
              <m:t>v</m:t>
            </m:r>
          </m:sub>
        </m:sSub>
      </m:oMath>
      <w:r>
        <w:rPr>
          <w:rFonts w:ascii="Times New Roman" w:hAnsi="Times New Roman" w:eastAsia="宋体"/>
          <w:sz w:val="24"/>
        </w:rPr>
        <w:t xml:space="preserve">。这些分量的非对角元素揭示了平动—转动耦合，而非六个独立标量子系统。[3,5]</w:t>
      </w:r>
    </w:p>
    <w:p>
      <w:pPr>
        <w:pStyle w:val="PX4正文"/>
        <w:widowControl/>
        <w:ind w:firstLine="480"/>
        <w:jc w:val="both"/>
      </w:pPr>
      <w:r>
        <w:rPr>
          <w:rFonts w:ascii="Times New Roman" w:hAnsi="Times New Roman" w:eastAsia="宋体"/>
          <w:sz w:val="24"/>
        </w:rPr>
        <w:t xml:space="preserve">在构型化建模方面，Prestero[7]对流线型REMUS航行器建立并校验六自由度模型；Caccia等[8]从开架式可变构型ROV的推进器—艇体相互作用出发开展集中参数辨识；Smallwood与Whitcomb[9]以水下动力定位实验验证模型控制的有效性。von Benzon等[10]发布的BlueROV2开源仿真基准纳入水动力、浮重力、推进器动态、水流及系缆作用，为八推进器构型提供可复现起点，但其参数仍受几何尺度、配重状态和水域条件制约，不能未经辨识直接作为新平台的真实参数。</w:t>
      </w:r>
    </w:p>
    <w:p>
      <w:pPr>
        <w:pStyle w:val="PX4正文"/>
        <w:widowControl/>
        <w:ind w:firstLine="480"/>
        <w:jc w:val="both"/>
      </w:pPr>
      <w:r>
        <w:rPr>
          <w:rFonts w:ascii="Times New Roman" w:hAnsi="Times New Roman" w:eastAsia="宋体"/>
          <w:sz w:val="24"/>
        </w:rPr>
        <w:t xml:space="preserve">水动力参数主要通过计算流体力学（CFD）与试验辨识获取。高婷等[11]从数值计算角度研究水动力系数，为附加质量及阻尼的初值估计提供依据；CFD能够呈现局部流场和受力分布，却对网格、湍流封闭及近壁边界条件敏感。Chin与Lau[12]研究复杂外形水下机器人低速阻尼，Ross等[13]利用自由衰减响应辨识系数，Avila与Adamowski[14]对开架式ROV开展实验模型辨识，Harris等[15]进一步将六自由度被控对象与执行器模型纳入联合自适应辨识。试验参数贴合实际构型，却受激励持久性、传感器噪声和参数相关性限制；尤其在近壁面与强流扰动中，水池标定结果的外推有效域必须单独验证。</w:t>
      </w:r>
    </w:p>
    <w:p>
      <w:pPr>
        <w:pStyle w:val="PX4正文"/>
        <w:widowControl/>
        <w:ind w:firstLine="480"/>
        <w:jc w:val="both"/>
      </w:pPr>
      <w:r>
        <w:rPr>
          <w:rFonts w:ascii="Times New Roman" w:hAnsi="Times New Roman" w:eastAsia="宋体"/>
          <w:sz w:val="24"/>
        </w:rPr>
        <w:t xml:space="preserve">数据驱动方法为难以解析的耦合阻尼提供补偿路径。Brunton等[16]提出的SINDy利用候选函数库</w:t>
      </w:r>
      <m:oMath>
        <m:r>
          <m:t>Θ</m:t>
        </m:r>
        <m:d>
          <m:dPr>
            <m:begChr m:val="("/>
            <m:endChr m:val=")"/>
            <m:sepChr m:val=""/>
            <m:grow/>
          </m:dPr>
          <m:e>
            <m:r>
              <m:t>x</m:t>
            </m:r>
          </m:e>
        </m:d>
      </m:oMath>
      <w:r>
        <w:rPr>
          <w:rFonts w:ascii="Times New Roman" w:hAnsi="Times New Roman" w:eastAsia="宋体"/>
          <w:sz w:val="24"/>
        </w:rPr>
        <w:t xml:space="preserve">与稀疏系数</w:t>
      </w:r>
      <m:oMath>
        <m:r>
          <m:t>Ξ</m:t>
        </m:r>
      </m:oMath>
      <w:r>
        <w:rPr>
          <w:rFonts w:ascii="Times New Roman" w:hAnsi="Times New Roman" w:eastAsia="宋体"/>
          <w:sz w:val="24"/>
        </w:rPr>
        <w:t xml:space="preserve">识别</w:t>
      </w:r>
      <m:oMath>
        <m:acc>
          <m:accPr>
            <m:chr m:val="̇"/>
          </m:accPr>
          <m:e>
            <m:r>
              <m:t>x</m:t>
            </m:r>
          </m:e>
        </m:acc>
        <m:r>
          <m:rPr>
            <m:sty m:val="p"/>
          </m:rPr>
          <m:t>≈</m:t>
        </m:r>
        <m:r>
          <m:t>Θ</m:t>
        </m:r>
        <m:d>
          <m:dPr>
            <m:begChr m:val="("/>
            <m:endChr m:val=")"/>
            <m:sepChr m:val=""/>
            <m:grow/>
          </m:dPr>
          <m:e>
            <m:r>
              <m:t>x</m:t>
            </m:r>
          </m:e>
        </m:d>
        <m:r>
          <m:t>Ξ</m:t>
        </m:r>
      </m:oMath>
      <w:r>
        <w:rPr>
          <w:rFonts w:ascii="Times New Roman" w:hAnsi="Times New Roman" w:eastAsia="宋体"/>
          <w:sz w:val="24"/>
        </w:rPr>
        <w:t xml:space="preserve">：若在函数库中嵌入</w:t>
      </w:r>
      <m:oMath>
        <m:r>
          <m:t>u</m:t>
        </m:r>
        <m:r>
          <m:rPr>
            <m:sty m:val="p"/>
          </m:rPr>
          <m:t>,</m:t>
        </m:r>
        <m:d>
          <m:dPr>
            <m:begChr m:val="|"/>
            <m:endChr m:val="|"/>
            <m:sepChr m:val=""/>
            <m:grow/>
          </m:dPr>
          <m:e>
            <m:r>
              <m:t>u</m:t>
            </m:r>
          </m:e>
        </m:d>
        <m:r>
          <m:t>u</m:t>
        </m:r>
        <m:r>
          <m:rPr>
            <m:sty m:val="p"/>
          </m:rPr>
          <m:t>,</m:t>
        </m:r>
        <m:r>
          <m:t>u</m:t>
        </m:r>
        <m:r>
          <m:t>v</m:t>
        </m:r>
      </m:oMath>
      <w:r>
        <w:rPr>
          <w:rFonts w:ascii="Times New Roman" w:hAnsi="Times New Roman" w:eastAsia="宋体"/>
          <w:sz w:val="24"/>
        </w:rPr>
        <w:t xml:space="preserve">等项，可与Fossen模型的线性、二次及交叉阻尼结构对齐，从而避免毫无物理依据的高维拟合。其关键代价是状态微分噪声放大、候选项共线性与低激励条件下的错误稀疏选择；因此，稀疏并不自动等于真实机理，仍须以独立工况的多步预测误差检验。</w:t>
      </w:r>
    </w:p>
    <w:p>
      <w:pPr>
        <w:pStyle w:val="PX4正文"/>
        <w:widowControl/>
        <w:ind w:firstLine="480"/>
        <w:jc w:val="both"/>
      </w:pPr>
      <w:r>
        <w:rPr>
          <w:rFonts w:ascii="Times New Roman" w:hAnsi="Times New Roman" w:eastAsia="宋体"/>
          <w:sz w:val="24"/>
        </w:rPr>
        <w:t xml:space="preserve">Raissi等[17]提出的物理信息神经网络（PINN）将动力学残差、初边值条件等纳入损失函数，能够在样本较少时利用质量守恒、受力平衡等物理先验约束参数反演；但残差惩罚通常是软约束，不能保证电机推力上下限等硬不等式严格满足，仍需在控制/分配层配置可行域投影或显式约束。Chen等[18]提出的Neural ODE则以</w:t>
      </w:r>
      <m:oMath>
        <m:acc>
          <m:accPr>
            <m:chr m:val="̇"/>
          </m:accPr>
          <m:e>
            <m:r>
              <m:t>x</m:t>
            </m:r>
          </m:e>
        </m:acc>
        <m:r>
          <m:rPr>
            <m:sty m:val="p"/>
          </m:rPr>
          <m:t>=</m:t>
        </m:r>
        <m:sSub>
          <m:e>
            <m:r>
              <m:t>f</m:t>
            </m:r>
          </m:e>
          <m:sub>
            <m:r>
              <m:t>θ</m:t>
            </m:r>
          </m:sub>
        </m:sSub>
        <m:d>
          <m:dPr>
            <m:begChr m:val="("/>
            <m:endChr m:val=")"/>
            <m:sepChr m:val=""/>
            <m:grow/>
          </m:dPr>
          <m:e>
            <m:r>
              <m:t>x</m:t>
            </m:r>
            <m:r>
              <m:rPr>
                <m:sty m:val="p"/>
              </m:rPr>
              <m:t>,</m:t>
            </m:r>
            <m:r>
              <m:t>u</m:t>
            </m:r>
            <m:r>
              <m:rPr>
                <m:sty m:val="p"/>
              </m:rPr>
              <m:t>,</m:t>
            </m:r>
            <m:r>
              <m:t>t</m:t>
            </m:r>
          </m:e>
        </m:d>
      </m:oMath>
      <w:r>
        <w:rPr>
          <w:rFonts w:ascii="Times New Roman" w:hAnsi="Times New Roman" w:eastAsia="宋体"/>
          <w:sz w:val="24"/>
        </w:rPr>
        <w:t xml:space="preserve">连续积分拟合动力学，适合多传感器异步、非等间隔采样；然而，数值积分容差、零阶保持输入与报文传输时延若未同步建模，多步滚动预测会产生累积相位误差，且实时求解成本取决于积分步数而非仅网络参数量。</w:t>
      </w:r>
    </w:p>
    <w:p>
      <w:pPr>
        <w:pStyle w:val="PX4正文"/>
        <w:widowControl/>
        <w:ind w:firstLine="480"/>
        <w:jc w:val="both"/>
      </w:pPr>
      <w:r>
        <w:rPr>
          <w:rFonts w:ascii="Times New Roman" w:hAnsi="Times New Roman" w:eastAsia="宋体"/>
          <w:sz w:val="24"/>
        </w:rPr>
        <w:t xml:space="preserve">在仿真到实际迁移方面，Liu等[19]通过Koopman框架研究水动力在线辨识与Sim2Real更新，说明数据先验与小样本实测修正具有互补价值。综合而言，纯机理模型参数含义明确、在线代价低但存在欠建模误差；纯数据模型具有局部表达能力却受训练覆盖域制约；机理骨架叠加可解释残差项的灰箱模型，可在外推约束、预测精度与嵌入式计算资源之间形成更合理的控制导向折中，仍需通过跨工况验证证明其有效性。</w:t>
      </w:r>
    </w:p>
    <w:bookmarkEnd w:id="21"/>
    <w:bookmarkStart w:id="22" w:name="多推进器受约束运动控制与推力分配研究现状"/>
    <w:p>
      <w:pPr>
        <w:pStyle w:val="PX4三级标题"/>
        <w:widowControl/>
        <w:ind w:firstLine="0"/>
        <w:jc w:val="left"/>
      </w:pPr>
      <w:r>
        <w:rPr>
          <w:rFonts w:ascii="Times New Roman" w:hAnsi="Times New Roman" w:eastAsia="黑体"/>
          <w:sz w:val="24"/>
        </w:rPr>
        <w:t xml:space="preserve">2.2 多推进器受约束运动控制与推力分配研究现状</w:t>
      </w:r>
    </w:p>
    <w:p>
      <w:pPr>
        <w:pStyle w:val="PX4正文"/>
        <w:widowControl/>
        <w:ind w:firstLine="480"/>
        <w:jc w:val="both"/>
      </w:pPr>
      <w:r>
        <w:rPr>
          <w:rFonts w:ascii="Times New Roman" w:hAnsi="Times New Roman" w:eastAsia="宋体"/>
          <w:sz w:val="24"/>
        </w:rPr>
        <w:t xml:space="preserve">八推进器矢量布局使BlueROV2 Heavy能够在满足几何秩条件时形成六维广义力，但六自由度命令与八路独立执行器之间同时存在输入冗余、推力幅值不对称、变化率限制及推进器动态滞后。系统难点已从单轴误差抑制转为“运动预测—约束可行性—执行分配”的联立协调。</w:t>
      </w:r>
    </w:p>
    <w:p>
      <w:pPr>
        <w:pStyle w:val="PX4正文"/>
        <w:widowControl/>
        <w:ind w:firstLine="480"/>
        <w:jc w:val="both"/>
      </w:pPr>
      <w:r>
        <w:rPr>
          <w:rFonts w:ascii="Times New Roman" w:hAnsi="Times New Roman" w:eastAsia="宋体"/>
          <w:sz w:val="24"/>
        </w:rPr>
        <w:t xml:space="preserve">经典反馈方面，Yuh[20]及朱大奇、孙兵[21]归纳了水下机器人PID、鲁棒与智能控制方法。PID因结构简洁、易于实时部署而广泛用于深度、姿态和速度闭环；但多通道独立整定无法消除附加质量与阻尼造成的轴间耦合。Yoerger与Slotine[22]、Healey与Lienard[23]分别利用滑模及多变量滑模提高参数摄动和海流扰动下的鲁棒性，Chu等[24]将推进器动态和输入饱和纳入自适应轨迹控制。此类方法并非不能处理饱和，但依赖抗积分饱和、辅助系统或控制律修正时，难以像约束优化一样预先判定多执行器联合可行性。</w:t>
      </w:r>
    </w:p>
    <w:p>
      <w:pPr>
        <w:pStyle w:val="PX4正文"/>
        <w:widowControl/>
        <w:ind w:firstLine="480"/>
        <w:jc w:val="both"/>
      </w:pPr>
      <w:r>
        <w:rPr>
          <w:rFonts w:ascii="Times New Roman" w:hAnsi="Times New Roman" w:eastAsia="宋体"/>
          <w:sz w:val="24"/>
        </w:rPr>
        <w:t xml:space="preserve">模型预测控制（MPC）以离散预测模型</w:t>
      </w:r>
      <m:oMath>
        <m:sSub>
          <m:e>
            <m:r>
              <m:t>x</m:t>
            </m:r>
          </m:e>
          <m:sub>
            <m:r>
              <m:t>k</m:t>
            </m:r>
            <m:r>
              <m:rPr>
                <m:sty m:val="p"/>
              </m:rPr>
              <m:t>+</m:t>
            </m:r>
            <m:r>
              <m:t>1</m:t>
            </m:r>
          </m:sub>
        </m:sSub>
        <m:r>
          <m:rPr>
            <m:sty m:val="p"/>
          </m:rPr>
          <m:t>=</m:t>
        </m:r>
        <m:sSub>
          <m:e>
            <m:r>
              <m:t>f</m:t>
            </m:r>
          </m:e>
          <m:sub>
            <m:r>
              <m:t>d</m:t>
            </m:r>
          </m:sub>
        </m:sSub>
        <m:d>
          <m:dPr>
            <m:begChr m:val="("/>
            <m:endChr m:val=")"/>
            <m:sepChr m:val=""/>
            <m:grow/>
          </m:dPr>
          <m:e>
            <m:sSub>
              <m:e>
                <m:r>
                  <m:t>x</m:t>
                </m:r>
              </m:e>
              <m:sub>
                <m:r>
                  <m:t>k</m:t>
                </m:r>
              </m:sub>
            </m:sSub>
            <m:r>
              <m:rPr>
                <m:sty m:val="p"/>
              </m:rPr>
              <m:t>,</m:t>
            </m:r>
            <m:sSub>
              <m:e>
                <m:r>
                  <m:t>τ</m:t>
                </m:r>
              </m:e>
              <m:sub>
                <m:r>
                  <m:t>k</m:t>
                </m:r>
              </m:sub>
            </m:sSub>
          </m:e>
        </m:d>
      </m:oMath>
      <w:r>
        <w:rPr>
          <w:rFonts w:ascii="Times New Roman" w:hAnsi="Times New Roman" w:eastAsia="宋体"/>
          <w:sz w:val="24"/>
        </w:rPr>
        <w:t xml:space="preserve">滚动最小化跟踪误差与控制变化，并显式约束速度、广义力和执行器。张磊等[25]梳理了水下MPC研究，Heshmati-Alamdari等[26,27]从受限空间和不确定环境中的鲁棒预测控制出发，体现其处理多变量耦合与安全边界的潜力。局部线性化MPC可转化为计算结构明确的QP，却受工况偏离与模型更新频率限制；非线性MPC（NMPC）能保留完整非线性和几何约束，但优化非凸、求解时间更易波动。实际选型必须以预测误差、约束违例率和最坏求解耗时共同评价，而不能仅比较理想仿真下的轨迹误差。</w:t>
      </w:r>
    </w:p>
    <w:p>
      <w:pPr>
        <w:pStyle w:val="PX4正文"/>
        <w:widowControl/>
        <w:ind w:firstLine="480"/>
        <w:jc w:val="both"/>
      </w:pPr>
      <w:r>
        <w:rPr>
          <w:rFonts w:ascii="Times New Roman" w:hAnsi="Times New Roman" w:eastAsia="宋体"/>
          <w:sz w:val="24"/>
        </w:rPr>
        <w:t xml:space="preserve">对控制分配，设单推进器推力向量</w:t>
      </w:r>
      <m:oMath>
        <m:r>
          <m:t>u</m:t>
        </m:r>
        <m:r>
          <m:rPr>
            <m:sty m:val="p"/>
          </m:rPr>
          <m:t>∈</m:t>
        </m:r>
        <m:sSup>
          <m:e>
            <m:r>
              <m:rPr>
                <m:sty m:val="p"/>
                <m:scr m:val="double-struck"/>
              </m:rPr>
              <m:t>R</m:t>
            </m:r>
          </m:e>
          <m:sup>
            <m:r>
              <m:t>n</m:t>
            </m:r>
          </m:sup>
        </m:sSup>
      </m:oMath>
      <w:r>
        <w:rPr>
          <w:rFonts w:ascii="Times New Roman" w:hAnsi="Times New Roman" w:eastAsia="宋体"/>
          <w:sz w:val="24"/>
        </w:rPr>
        <w:t xml:space="preserve">、配置矩阵</w:t>
      </w:r>
      <m:oMath>
        <m:r>
          <m:t>B</m:t>
        </m:r>
        <m:r>
          <m:rPr>
            <m:sty m:val="p"/>
          </m:rPr>
          <m:t>∈</m:t>
        </m:r>
        <m:sSup>
          <m:e>
            <m:r>
              <m:rPr>
                <m:sty m:val="p"/>
                <m:scr m:val="double-struck"/>
              </m:rPr>
              <m:t>R</m:t>
            </m:r>
          </m:e>
          <m:sup>
            <m:r>
              <m:t>m</m:t>
            </m:r>
            <m:r>
              <m:rPr>
                <m:sty m:val="p"/>
              </m:rPr>
              <m:t>×</m:t>
            </m:r>
            <m:r>
              <m:t>n</m:t>
            </m:r>
          </m:sup>
        </m:sSup>
      </m:oMath>
      <w:r>
        <w:rPr>
          <w:rFonts w:ascii="Times New Roman" w:hAnsi="Times New Roman" w:eastAsia="宋体"/>
          <w:sz w:val="24"/>
        </w:rPr>
        <w:t xml:space="preserve">，广义力满足</w:t>
      </w:r>
      <m:oMath>
        <m:r>
          <m:t>τ</m:t>
        </m:r>
        <m:r>
          <m:rPr>
            <m:sty m:val="p"/>
          </m:rPr>
          <m:t>=</m:t>
        </m:r>
        <m:r>
          <m:t>B</m:t>
        </m:r>
        <m:r>
          <m:t>u</m:t>
        </m:r>
      </m:oMath>
      <w:r>
        <w:rPr>
          <w:rFonts w:ascii="Times New Roman" w:hAnsi="Times New Roman" w:eastAsia="宋体"/>
          <w:sz w:val="24"/>
        </w:rPr>
        <w:t xml:space="preserve">；BlueROV2 Heavy取</w:t>
      </w:r>
      <m:oMath>
        <m:r>
          <m:t>m</m:t>
        </m:r>
        <m:r>
          <m:rPr>
            <m:sty m:val="p"/>
          </m:rPr>
          <m:t>=</m:t>
        </m:r>
        <m:r>
          <m:t>6</m:t>
        </m:r>
        <m:r>
          <m:rPr>
            <m:sty m:val="p"/>
          </m:rPr>
          <m:t>,</m:t>
        </m:r>
        <m:r>
          <m:t>n</m:t>
        </m:r>
        <m:r>
          <m:rPr>
            <m:sty m:val="p"/>
          </m:rPr>
          <m:t>=</m:t>
        </m:r>
        <m:r>
          <m:t>8</m:t>
        </m:r>
      </m:oMath>
      <w:r>
        <w:rPr>
          <w:rFonts w:ascii="Times New Roman" w:hAnsi="Times New Roman" w:eastAsia="宋体"/>
          <w:sz w:val="24"/>
        </w:rPr>
        <w:t xml:space="preserve">，且理想完整构型需满足</w:t>
      </w:r>
      <m:oMath>
        <m:r>
          <m:rPr>
            <m:sty m:val="p"/>
          </m:rPr>
          <m:t>rank</m:t>
        </m:r>
        <m:d>
          <m:dPr>
            <m:begChr m:val="("/>
            <m:endChr m:val=")"/>
            <m:sepChr m:val=""/>
            <m:grow/>
          </m:dPr>
          <m:e>
            <m:r>
              <m:t>B</m:t>
            </m:r>
          </m:e>
        </m:d>
        <m:r>
          <m:rPr>
            <m:sty m:val="p"/>
          </m:rPr>
          <m:t>=</m:t>
        </m:r>
        <m:r>
          <m:t>m</m:t>
        </m:r>
      </m:oMath>
      <w:r>
        <w:rPr>
          <w:rFonts w:ascii="Times New Roman" w:hAnsi="Times New Roman" w:eastAsia="宋体"/>
          <w:sz w:val="24"/>
        </w:rPr>
        <w:t xml:space="preserve">。在不考虑不等式约束的最小二范数问题</w:t>
      </w:r>
      <m:oMath>
        <m:sSub>
          <m:e>
            <m:r>
              <m:rPr>
                <m:sty m:val="p"/>
              </m:rPr>
              <m:t>min</m:t>
            </m:r>
          </m:e>
          <m:sub>
            <m:r>
              <m:t>u</m:t>
            </m:r>
          </m:sub>
        </m:sSub>
        <m:r>
          <m:rPr>
            <m:sty m:val="p"/>
          </m:rPr>
          <m:t>∥</m:t>
        </m:r>
        <m:r>
          <m:t>u</m:t>
        </m:r>
        <m:sSubSup>
          <m:e>
            <m:r>
              <m:rPr>
                <m:sty m:val="p"/>
              </m:rPr>
              <m:t>∥</m:t>
            </m:r>
          </m:e>
          <m:sub>
            <m:r>
              <m:t>2</m:t>
            </m:r>
          </m:sub>
          <m:sup>
            <m:r>
              <m:t>2</m:t>
            </m:r>
          </m:sup>
        </m:sSubSup>
        <m:r>
          <m:rPr>
            <m:sty m:val="p"/>
          </m:rPr>
          <m:t>/</m:t>
        </m:r>
        <m:r>
          <m:t>2</m:t>
        </m:r>
      </m:oMath>
      <w:r>
        <w:rPr>
          <w:rFonts w:ascii="Times New Roman" w:hAnsi="Times New Roman" w:eastAsia="宋体"/>
          <w:sz w:val="24"/>
        </w:rPr>
        <w:t xml:space="preserve">、</w:t>
      </w:r>
      <m:oMath>
        <m:r>
          <m:t>B</m:t>
        </m:r>
        <m:r>
          <m:t>u</m:t>
        </m:r>
        <m:r>
          <m:rPr>
            <m:sty m:val="p"/>
          </m:rPr>
          <m:t>=</m:t>
        </m:r>
        <m:sSub>
          <m:e>
            <m:r>
              <m:t>τ</m:t>
            </m:r>
          </m:e>
          <m:sub>
            <m:r>
              <m:t>d</m:t>
            </m:r>
          </m:sub>
        </m:sSub>
      </m:oMath>
      <w:r>
        <w:rPr>
          <w:rFonts w:ascii="Times New Roman" w:hAnsi="Times New Roman" w:eastAsia="宋体"/>
          <w:sz w:val="24"/>
        </w:rPr>
        <w:t xml:space="preserve">中，拉格朗日驻值条件给出</w:t>
      </w:r>
      <m:oMath>
        <m:r>
          <m:t>u</m:t>
        </m:r>
        <m:r>
          <m:rPr>
            <m:sty m:val="p"/>
          </m:rPr>
          <m:t>=</m:t>
        </m:r>
        <m:sSup>
          <m:e>
            <m:r>
              <m:t>B</m:t>
            </m:r>
          </m:e>
          <m:sup>
            <m:r>
              <m:t>T</m:t>
            </m:r>
          </m:sup>
        </m:sSup>
        <m:r>
          <m:t>λ</m:t>
        </m:r>
      </m:oMath>
      <w:r>
        <w:rPr>
          <w:rFonts w:ascii="Times New Roman" w:hAnsi="Times New Roman" w:eastAsia="宋体"/>
          <w:sz w:val="24"/>
        </w:rPr>
        <w:t xml:space="preserve">及</w:t>
      </w:r>
      <m:oMath>
        <m:r>
          <m:t>B</m:t>
        </m:r>
        <m:sSup>
          <m:e>
            <m:r>
              <m:t>B</m:t>
            </m:r>
          </m:e>
          <m:sup>
            <m:r>
              <m:t>T</m:t>
            </m:r>
          </m:sup>
        </m:sSup>
        <m:r>
          <m:t>λ</m:t>
        </m:r>
        <m:r>
          <m:rPr>
            <m:sty m:val="p"/>
          </m:rPr>
          <m:t>=</m:t>
        </m:r>
        <m:sSub>
          <m:e>
            <m:r>
              <m:t>τ</m:t>
            </m:r>
          </m:e>
          <m:sub>
            <m:r>
              <m:t>d</m:t>
            </m:r>
          </m:sub>
        </m:sSub>
      </m:oMath>
      <w:r>
        <w:rPr>
          <w:rFonts w:ascii="Times New Roman" w:hAnsi="Times New Roman" w:eastAsia="宋体"/>
          <w:sz w:val="24"/>
        </w:rPr>
        <w:t xml:space="preserve">，由此得到Moore–Penrose伪逆解析解[28]：</w:t>
      </w:r>
    </w:p>
    <w:p>
      <w:pPr>
        <w:pStyle w:val="PX4公式"/>
        <w:keepLines/>
        <w:widowControl/>
        <w:ind w:firstLine="0"/>
        <w:jc w:val="center"/>
      </w:pPr>
      <m:oMathPara>
        <m:oMath>
          <m:r>
            <m:rPr>
              <m:sty m:val="p"/>
            </m:rPr>
            <m:t>u = B⁺τ_d = Bᵀ(BBᵀ)⁻¹τ_d</m:t>
          </m:r>
        </m:oMath>
      </m:oMathPara>
    </w:p>
    <w:p>
      <w:pPr>
        <w:pStyle w:val="PX4正文"/>
        <w:widowControl/>
        <w:ind w:firstLine="480"/>
        <w:jc w:val="both"/>
      </w:pPr>
      <w:r>
        <w:rPr>
          <w:rFonts w:ascii="Times New Roman" w:hAnsi="Times New Roman" w:eastAsia="宋体"/>
          <w:sz w:val="24"/>
        </w:rPr>
        <w:t xml:space="preserve">从算法成本看，通用密集型伪逆/SVD实现可按</w:t>
      </w:r>
      <m:oMath>
        <m:r>
          <m:t>O</m:t>
        </m:r>
        <m:d>
          <m:dPr>
            <m:begChr m:val="("/>
            <m:endChr m:val=")"/>
            <m:sepChr m:val=""/>
            <m:grow/>
          </m:dPr>
          <m:e>
            <m:sSup>
              <m:e>
                <m:r>
                  <m:t>n</m:t>
                </m:r>
              </m:e>
              <m:sup>
                <m:r>
                  <m:t>2</m:t>
                </m:r>
              </m:sup>
            </m:sSup>
            <m:r>
              <m:t>m</m:t>
            </m:r>
          </m:e>
        </m:d>
      </m:oMath>
      <w:r>
        <w:rPr>
          <w:rFonts w:ascii="Times New Roman" w:hAnsi="Times New Roman" w:eastAsia="宋体"/>
          <w:sz w:val="24"/>
        </w:rPr>
        <w:t xml:space="preserve">量级估算；但对于满行秩的</w:t>
      </w:r>
      <m:oMath>
        <m:r>
          <m:t>m</m:t>
        </m:r>
        <m:r>
          <m:rPr>
            <m:sty m:val="p"/>
          </m:rPr>
          <m:t>×</m:t>
        </m:r>
        <m:r>
          <m:t>n</m:t>
        </m:r>
      </m:oMath>
      <w:r>
        <w:rPr>
          <w:rFonts w:ascii="Times New Roman" w:hAnsi="Times New Roman" w:eastAsia="宋体"/>
          <w:sz w:val="24"/>
        </w:rPr>
        <w:t xml:space="preserve">矩阵，直接构造</w:t>
      </w:r>
      <m:oMath>
        <m:r>
          <m:t>B</m:t>
        </m:r>
        <m:sSup>
          <m:e>
            <m:r>
              <m:t>B</m:t>
            </m:r>
          </m:e>
          <m:sup>
            <m:r>
              <m:t>T</m:t>
            </m:r>
          </m:sup>
        </m:sSup>
      </m:oMath>
      <w:r>
        <w:rPr>
          <w:rFonts w:ascii="Times New Roman" w:hAnsi="Times New Roman" w:eastAsia="宋体"/>
          <w:sz w:val="24"/>
        </w:rPr>
        <w:t xml:space="preserve">并分解的成本通常为</w:t>
      </w:r>
      <m:oMath>
        <m:r>
          <m:t>O</m:t>
        </m:r>
        <m:d>
          <m:dPr>
            <m:begChr m:val="("/>
            <m:endChr m:val=")"/>
            <m:sepChr m:val=""/>
            <m:grow/>
          </m:dPr>
          <m:e>
            <m:r>
              <m:t>n</m:t>
            </m:r>
            <m:sSup>
              <m:e>
                <m:r>
                  <m:t>m</m:t>
                </m:r>
              </m:e>
              <m:sup>
                <m:r>
                  <m:t>2</m:t>
                </m:r>
              </m:sup>
            </m:sSup>
            <m:r>
              <m:rPr>
                <m:sty m:val="p"/>
              </m:rPr>
              <m:t>+</m:t>
            </m:r>
            <m:sSup>
              <m:e>
                <m:r>
                  <m:t>m</m:t>
                </m:r>
              </m:e>
              <m:sup>
                <m:r>
                  <m:t>3</m:t>
                </m:r>
              </m:sup>
            </m:sSup>
          </m:e>
        </m:d>
      </m:oMath>
      <w:r>
        <w:rPr>
          <w:rFonts w:ascii="Times New Roman" w:hAnsi="Times New Roman" w:eastAsia="宋体"/>
          <w:sz w:val="24"/>
        </w:rPr>
        <w:t xml:space="preserve">，若构型固定还可预计算B⁺，运行时仅需矩阵—向量乘法。因而</w:t>
      </w:r>
      <m:oMath>
        <m:r>
          <m:t>O</m:t>
        </m:r>
        <m:d>
          <m:dPr>
            <m:begChr m:val="("/>
            <m:endChr m:val=")"/>
            <m:sepChr m:val=""/>
            <m:grow/>
          </m:dPr>
          <m:e>
            <m:sSup>
              <m:e>
                <m:r>
                  <m:t>n</m:t>
                </m:r>
              </m:e>
              <m:sup>
                <m:r>
                  <m:t>2</m:t>
                </m:r>
              </m:sup>
            </m:sSup>
            <m:r>
              <m:t>m</m:t>
            </m:r>
          </m:e>
        </m:d>
      </m:oMath>
      <w:r>
        <w:rPr>
          <w:rFonts w:ascii="Times New Roman" w:hAnsi="Times New Roman" w:eastAsia="宋体"/>
          <w:sz w:val="24"/>
        </w:rPr>
        <w:t xml:space="preserve">不应误用为该解析式每一控制周期的必需运算量。伪逆无法保证</w:t>
      </w:r>
      <m:oMath>
        <m:sSub>
          <m:e>
            <m:r>
              <m:t>u</m:t>
            </m:r>
          </m:e>
          <m:sub>
            <m:r>
              <m:t>m</m:t>
            </m:r>
            <m:r>
              <m:t>i</m:t>
            </m:r>
            <m:r>
              <m:t>n</m:t>
            </m:r>
          </m:sub>
        </m:sSub>
        <m:r>
          <m:rPr>
            <m:sty m:val="p"/>
          </m:rPr>
          <m:t>≤</m:t>
        </m:r>
        <m:r>
          <m:t>u</m:t>
        </m:r>
        <m:r>
          <m:rPr>
            <m:sty m:val="p"/>
          </m:rPr>
          <m:t>≤</m:t>
        </m:r>
        <m:sSub>
          <m:e>
            <m:r>
              <m:t>u</m:t>
            </m:r>
          </m:e>
          <m:sub>
            <m:r>
              <m:t>m</m:t>
            </m:r>
            <m:r>
              <m:t>a</m:t>
            </m:r>
            <m:r>
              <m:t>x</m:t>
            </m:r>
          </m:sub>
        </m:sSub>
      </m:oMath>
      <w:r>
        <w:rPr>
          <w:rFonts w:ascii="Times New Roman" w:hAnsi="Times New Roman" w:eastAsia="宋体"/>
          <w:sz w:val="24"/>
        </w:rPr>
        <w:t xml:space="preserve">，分配后逐路限幅使实际</w:t>
      </w:r>
      <m:oMath>
        <m:r>
          <m:t>B</m:t>
        </m:r>
        <m:r>
          <m:t>u</m:t>
        </m:r>
      </m:oMath>
      <w:r>
        <w:rPr>
          <w:rFonts w:ascii="Times New Roman" w:hAnsi="Times New Roman" w:eastAsia="宋体"/>
          <w:sz w:val="24"/>
        </w:rPr>
        <w:t xml:space="preserve">偏离</w:t>
      </w:r>
      <m:oMath>
        <m:sSub>
          <m:e>
            <m:r>
              <m:t>τ</m:t>
            </m:r>
          </m:e>
          <m:sub>
            <m:r>
              <m:t>d</m:t>
            </m:r>
          </m:sub>
        </m:sSub>
      </m:oMath>
      <w:r>
        <w:rPr>
          <w:rFonts w:ascii="Times New Roman" w:hAnsi="Times New Roman" w:eastAsia="宋体"/>
          <w:sz w:val="24"/>
        </w:rPr>
        <w:t xml:space="preserve">，甚至改变六维合力/力矩的方向。</w:t>
      </w:r>
    </w:p>
    <w:p>
      <w:pPr>
        <w:pStyle w:val="PX4正文"/>
        <w:widowControl/>
        <w:ind w:firstLine="480"/>
        <w:jc w:val="both"/>
      </w:pPr>
      <w:r>
        <w:rPr>
          <w:rFonts w:ascii="Times New Roman" w:hAnsi="Times New Roman" w:eastAsia="宋体"/>
          <w:sz w:val="24"/>
        </w:rPr>
        <w:t xml:space="preserve">为将约束前置，Johansen与Fossen[28]、Bodson[29]及Härkegård[30]建立了受约束控制分配的优化与有效集（Active Set）求解基础；程卫平等[31]研究可行方向推力分配，孙功武等[32]提出混合推进ROV多级分配，Li等[33]则从冗余推进器故障识别与容错控制角度提高失效条件下的可用性。一个适用于定向定速推进器的凸QP表述为：</w:t>
      </w:r>
    </w:p>
    <w:p>
      <w:pPr>
        <w:pStyle w:val="PX4公式"/>
        <w:keepLines/>
        <w:widowControl/>
        <w:ind w:firstLine="0"/>
        <w:jc w:val="center"/>
      </w:pPr>
      <m:oMathPara>
        <m:oMathParaPr>
          <m:jc m:val="center"/>
        </m:oMathParaPr>
        <m:oMath>
          <m:limLow>
            <m:e>
              <m:r>
                <m:rPr>
                  <m:sty m:val="p"/>
                </m:rPr>
                <m:t>min</m:t>
              </m:r>
            </m:e>
            <m:lim>
              <m:r>
                <m:t>u</m:t>
              </m:r>
            </m:lim>
          </m:limLow>
          <m:r>
            <m:t> </m:t>
          </m:r>
          <m:f>
            <m:fPr>
              <m:type m:val="bar"/>
            </m:fPr>
            <m:num>
              <m:r>
                <m:t>1</m:t>
              </m:r>
            </m:num>
            <m:den>
              <m:r>
                <m:t>2</m:t>
              </m:r>
            </m:den>
          </m:f>
          <m:r>
            <m:rPr>
              <m:sty m:val="p"/>
            </m:rPr>
            <m:t>∥</m:t>
          </m:r>
          <m:sSub>
            <m:e>
              <m:r>
                <m:t>W</m:t>
              </m:r>
            </m:e>
            <m:sub>
              <m:r>
                <m:t>τ</m:t>
              </m:r>
            </m:sub>
          </m:sSub>
          <m:d>
            <m:dPr>
              <m:begChr m:val="("/>
              <m:endChr m:val=")"/>
              <m:sepChr m:val=""/>
              <m:grow/>
            </m:dPr>
            <m:e>
              <m:r>
                <m:t>B</m:t>
              </m:r>
              <m:r>
                <m:t>u</m:t>
              </m:r>
              <m:r>
                <m:rPr>
                  <m:sty m:val="p"/>
                </m:rPr>
                <m:t>−</m:t>
              </m:r>
              <m:sSub>
                <m:e>
                  <m:r>
                    <m:t>τ</m:t>
                  </m:r>
                </m:e>
                <m:sub>
                  <m:r>
                    <m:t>d</m:t>
                  </m:r>
                </m:sub>
              </m:sSub>
            </m:e>
          </m:d>
          <m:sSubSup>
            <m:e>
              <m:r>
                <m:rPr>
                  <m:sty m:val="p"/>
                </m:rPr>
                <m:t>∥</m:t>
              </m:r>
            </m:e>
            <m:sub>
              <m:r>
                <m:t>2</m:t>
              </m:r>
            </m:sub>
            <m:sup>
              <m:r>
                <m:t>2</m:t>
              </m:r>
            </m:sup>
          </m:sSubSup>
          <m:r>
            <m:rPr>
              <m:sty m:val="p"/>
            </m:rPr>
            <m:t>+</m:t>
          </m:r>
          <m:f>
            <m:fPr>
              <m:type m:val="bar"/>
            </m:fPr>
            <m:num>
              <m:r>
                <m:t>λ</m:t>
              </m:r>
            </m:num>
            <m:den>
              <m:r>
                <m:t>2</m:t>
              </m:r>
            </m:den>
          </m:f>
          <m:r>
            <m:rPr>
              <m:sty m:val="p"/>
            </m:rPr>
            <m:t>∥</m:t>
          </m:r>
          <m:sSub>
            <m:e>
              <m:r>
                <m:t>W</m:t>
              </m:r>
            </m:e>
            <m:sub>
              <m:r>
                <m:t>u</m:t>
              </m:r>
            </m:sub>
          </m:sSub>
          <m:r>
            <m:t>u</m:t>
          </m:r>
          <m:sSubSup>
            <m:e>
              <m:r>
                <m:rPr>
                  <m:sty m:val="p"/>
                </m:rPr>
                <m:t>∥</m:t>
              </m:r>
            </m:e>
            <m:sub>
              <m:r>
                <m:t>2</m:t>
              </m:r>
            </m:sub>
            <m:sup>
              <m:r>
                <m:t>2</m:t>
              </m:r>
            </m:sup>
          </m:sSubSup>
          <m:r>
            <m:rPr>
              <m:sty m:val="p"/>
            </m:rPr>
            <m:t>+</m:t>
          </m:r>
          <m:f>
            <m:fPr>
              <m:type m:val="bar"/>
            </m:fPr>
            <m:num>
              <m:r>
                <m:t>ρ</m:t>
              </m:r>
            </m:num>
            <m:den>
              <m:r>
                <m:t>2</m:t>
              </m:r>
            </m:den>
          </m:f>
          <m:r>
            <m:rPr>
              <m:sty m:val="p"/>
            </m:rPr>
            <m:t>∥</m:t>
          </m:r>
          <m:r>
            <m:t>u</m:t>
          </m:r>
          <m:r>
            <m:rPr>
              <m:sty m:val="p"/>
            </m:rPr>
            <m:t>−</m:t>
          </m:r>
          <m:sSub>
            <m:e>
              <m:r>
                <m:t>u</m:t>
              </m:r>
            </m:e>
            <m:sub>
              <m:r>
                <m:t>k</m:t>
              </m:r>
              <m:r>
                <m:rPr>
                  <m:sty m:val="p"/>
                </m:rPr>
                <m:t>−</m:t>
              </m:r>
              <m:r>
                <m:t>1</m:t>
              </m:r>
            </m:sub>
          </m:sSub>
          <m:sSubSup>
            <m:e>
              <m:r>
                <m:rPr>
                  <m:sty m:val="p"/>
                </m:rPr>
                <m:t>∥</m:t>
              </m:r>
            </m:e>
            <m:sub>
              <m:r>
                <m:t>2</m:t>
              </m:r>
            </m:sub>
            <m:sup>
              <m:r>
                <m:t>2</m:t>
              </m:r>
            </m:sup>
          </m:sSubSup>
        </m:oMath>
      </m:oMathPara>
    </w:p>
    <w:p>
      <w:pPr>
        <w:pStyle w:val="PX4公式"/>
        <w:keepLines/>
        <w:widowControl/>
        <w:ind w:firstLine="0"/>
        <w:jc w:val="center"/>
      </w:pPr>
      <m:oMathPara>
        <m:oMathParaPr>
          <m:jc m:val="center"/>
        </m:oMathParaPr>
        <m:oMath>
          <m:r>
            <m:rPr>
              <m:nor/>
              <m:sty m:val="p"/>
            </m:rPr>
            <m:t>s.t.</m:t>
          </m:r>
          <m:r>
            <m:t> </m:t>
          </m:r>
          <m:sSub>
            <m:e>
              <m:r>
                <m:t>u</m:t>
              </m:r>
            </m:e>
            <m:sub>
              <m:r>
                <m:t>m</m:t>
              </m:r>
              <m:r>
                <m:t>i</m:t>
              </m:r>
              <m:r>
                <m:t>n</m:t>
              </m:r>
            </m:sub>
          </m:sSub>
          <m:r>
            <m:rPr>
              <m:sty m:val="p"/>
            </m:rPr>
            <m:t>≤</m:t>
          </m:r>
          <m:r>
            <m:t>u</m:t>
          </m:r>
          <m:r>
            <m:rPr>
              <m:sty m:val="p"/>
            </m:rPr>
            <m:t>≤</m:t>
          </m:r>
          <m:sSub>
            <m:e>
              <m:r>
                <m:t>u</m:t>
              </m:r>
            </m:e>
            <m:sub>
              <m:r>
                <m:t>m</m:t>
              </m:r>
              <m:r>
                <m:t>a</m:t>
              </m:r>
              <m:r>
                <m:t>x</m:t>
              </m:r>
            </m:sub>
          </m:sSub>
          <m:r>
            <m:rPr>
              <m:sty m:val="p"/>
            </m:rPr>
            <m:t>,</m:t>
          </m:r>
          <m:r>
            <m:t> </m:t>
          </m:r>
          <m:d>
            <m:dPr>
              <m:begChr m:val="|"/>
              <m:endChr m:val="|"/>
              <m:sepChr m:val=""/>
              <m:grow/>
            </m:dPr>
            <m:e>
              <m:r>
                <m:t>u</m:t>
              </m:r>
              <m:r>
                <m:rPr>
                  <m:sty m:val="p"/>
                </m:rPr>
                <m:t>−</m:t>
              </m:r>
              <m:sSub>
                <m:e>
                  <m:r>
                    <m:t>u</m:t>
                  </m:r>
                </m:e>
                <m:sub>
                  <m:r>
                    <m:t>k</m:t>
                  </m:r>
                  <m:r>
                    <m:rPr>
                      <m:sty m:val="p"/>
                    </m:rPr>
                    <m:t>−</m:t>
                  </m:r>
                  <m:r>
                    <m:t>1</m:t>
                  </m:r>
                </m:sub>
              </m:sSub>
            </m:e>
          </m:d>
          <m:r>
            <m:rPr>
              <m:sty m:val="p"/>
            </m:rPr>
            <m:t>≤</m:t>
          </m:r>
          <m:r>
            <m:t>Δ</m:t>
          </m:r>
          <m:sSub>
            <m:e>
              <m:r>
                <m:t>u</m:t>
              </m:r>
            </m:e>
            <m:sub>
              <m:r>
                <m:t>m</m:t>
              </m:r>
              <m:r>
                <m:t>a</m:t>
              </m:r>
              <m:r>
                <m:t>x</m:t>
              </m:r>
            </m:sub>
          </m:sSub>
        </m:oMath>
      </m:oMathPara>
    </w:p>
    <w:p>
      <w:pPr>
        <w:pStyle w:val="PX4正文"/>
        <w:widowControl/>
        <w:ind w:firstLine="480"/>
        <w:jc w:val="both"/>
      </w:pPr>
      <w:r>
        <w:rPr>
          <w:rFonts w:ascii="Times New Roman" w:hAnsi="Times New Roman" w:eastAsia="宋体"/>
          <w:sz w:val="24"/>
        </w:rPr>
        <w:t xml:space="preserve">其中</w:t>
      </w:r>
      <m:oMath>
        <m:sSub>
          <m:e>
            <m:r>
              <m:t>W</m:t>
            </m:r>
          </m:e>
          <m:sub>
            <m:r>
              <m:t>τ</m:t>
            </m:r>
          </m:sub>
        </m:sSub>
      </m:oMath>
      <w:r>
        <w:rPr>
          <w:rFonts w:ascii="Times New Roman" w:hAnsi="Times New Roman" w:eastAsia="宋体"/>
          <w:sz w:val="24"/>
        </w:rPr>
        <w:t xml:space="preserve">决定各广义力分量优先级，</w:t>
      </w:r>
      <m:oMath>
        <m:sSub>
          <m:e>
            <m:r>
              <m:t>W</m:t>
            </m:r>
          </m:e>
          <m:sub>
            <m:r>
              <m:t>u</m:t>
            </m:r>
          </m:sub>
        </m:sSub>
      </m:oMath>
      <w:r>
        <w:rPr>
          <w:rFonts w:ascii="Times New Roman" w:hAnsi="Times New Roman" w:eastAsia="宋体"/>
          <w:sz w:val="24"/>
        </w:rPr>
        <w:t xml:space="preserve">约束推进器负担，</w:t>
      </w:r>
      <m:oMath>
        <m:r>
          <m:t>λ</m:t>
        </m:r>
        <m:r>
          <m:rPr>
            <m:sty m:val="p"/>
          </m:rPr>
          <m:t>,</m:t>
        </m:r>
        <m:r>
          <m:t>ρ</m:t>
        </m:r>
        <m:r>
          <m:rPr>
            <m:sty m:val="p"/>
          </m:rPr>
          <m:t>≥</m:t>
        </m:r>
        <m:r>
          <m:t>0</m:t>
        </m:r>
      </m:oMath>
      <w:r>
        <w:rPr>
          <w:rFonts w:ascii="Times New Roman" w:hAnsi="Times New Roman" w:eastAsia="宋体"/>
          <w:sz w:val="24"/>
        </w:rPr>
        <w:t xml:space="preserve">调节能耗近似与指令平滑；上下限及变化率均须由实测推力—指令标定获得。有效集法对小维数QP可热启动，但在约束频繁切换时仍需实测计算时延。该形式在可行域内最小化分配残差，并不意味着每种期望广义力都能无误差实现。</w:t>
      </w:r>
    </w:p>
    <w:p>
      <w:pPr>
        <w:pStyle w:val="PX4正文"/>
        <w:widowControl/>
        <w:ind w:firstLine="480"/>
        <w:jc w:val="both"/>
      </w:pPr>
      <w:r>
        <w:rPr>
          <w:rFonts w:ascii="Times New Roman" w:hAnsi="Times New Roman" w:eastAsia="宋体"/>
          <w:sz w:val="24"/>
        </w:rPr>
        <w:t xml:space="preserve">控制—分配协同存在更深层的模型自洽问题。分层架构以上层MPC输出</w:t>
      </w:r>
      <m:oMath>
        <m:sSub>
          <m:e>
            <m:r>
              <m:t>τ</m:t>
            </m:r>
          </m:e>
          <m:sub>
            <m:r>
              <m:t>d</m:t>
            </m:r>
          </m:sub>
        </m:sSub>
      </m:oMath>
      <w:r>
        <w:rPr>
          <w:rFonts w:ascii="Times New Roman" w:hAnsi="Times New Roman" w:eastAsia="宋体"/>
          <w:sz w:val="24"/>
        </w:rPr>
        <w:t xml:space="preserve">、下层QP产生</w:t>
      </w:r>
      <m:oMath>
        <m:sSub>
          <m:e>
            <m:r>
              <m:t>u</m:t>
            </m:r>
          </m:e>
          <m:sub>
            <m:r>
              <m:rPr>
                <m:sty m:val="p"/>
              </m:rPr>
              <m:t>Q</m:t>
            </m:r>
            <m:r>
              <m:rPr>
                <m:sty m:val="p"/>
              </m:rPr>
              <m:t>P</m:t>
            </m:r>
          </m:sub>
        </m:sSub>
      </m:oMath>
      <w:r>
        <w:rPr>
          <w:rFonts w:ascii="Times New Roman" w:hAnsi="Times New Roman" w:eastAsia="宋体"/>
          <w:sz w:val="24"/>
        </w:rPr>
        <w:t xml:space="preserve">，当</w:t>
      </w:r>
      <m:oMath>
        <m:sSub>
          <m:e>
            <m:r>
              <m:t>τ</m:t>
            </m:r>
          </m:e>
          <m:sub>
            <m:r>
              <m:t>d</m:t>
            </m:r>
          </m:sub>
        </m:sSub>
        <m:r>
          <m:rPr>
            <m:sty m:val="p"/>
          </m:rPr>
          <m:t>∉</m:t>
        </m:r>
        <m:sSub>
          <m:e>
            <m:r>
              <m:rPr>
                <m:sty m:val="p"/>
                <m:scr m:val="script"/>
              </m:rPr>
              <m:t>W</m:t>
            </m:r>
          </m:e>
          <m:sub>
            <m:r>
              <m:t>k</m:t>
            </m:r>
          </m:sub>
        </m:sSub>
        <m:r>
          <m:rPr>
            <m:sty m:val="p"/>
          </m:rPr>
          <m:t>=</m:t>
        </m:r>
        <m:r>
          <m:rPr>
            <m:sty m:val="p"/>
          </m:rPr>
          <m:t>{</m:t>
        </m:r>
        <m:r>
          <m:t>B</m:t>
        </m:r>
        <m:r>
          <m:t>u</m:t>
        </m:r>
        <m:r>
          <m:rPr>
            <m:sty m:val="p"/>
          </m:rPr>
          <m:t>:</m:t>
        </m:r>
        <m:r>
          <m:t> </m:t>
        </m:r>
        <m:sSub>
          <m:e>
            <m:r>
              <m:t>u</m:t>
            </m:r>
          </m:e>
          <m:sub>
            <m:r>
              <m:t>m</m:t>
            </m:r>
            <m:r>
              <m:t>i</m:t>
            </m:r>
            <m:r>
              <m:t>n</m:t>
            </m:r>
          </m:sub>
        </m:sSub>
        <m:r>
          <m:rPr>
            <m:sty m:val="p"/>
          </m:rPr>
          <m:t>≤</m:t>
        </m:r>
        <m:r>
          <m:t>u</m:t>
        </m:r>
        <m:r>
          <m:rPr>
            <m:sty m:val="p"/>
          </m:rPr>
          <m:t>≤</m:t>
        </m:r>
        <m:sSub>
          <m:e>
            <m:r>
              <m:t>u</m:t>
            </m:r>
          </m:e>
          <m:sub>
            <m:r>
              <m:t>m</m:t>
            </m:r>
            <m:r>
              <m:t>a</m:t>
            </m:r>
            <m:r>
              <m:t>x</m:t>
            </m:r>
          </m:sub>
        </m:sSub>
        <m:r>
          <m:rPr>
            <m:sty m:val="p"/>
          </m:rPr>
          <m:t>,</m:t>
        </m:r>
        <m:r>
          <m:t> </m:t>
        </m:r>
        <m:d>
          <m:dPr>
            <m:begChr m:val="|"/>
            <m:endChr m:val="|"/>
            <m:sepChr m:val=""/>
            <m:grow/>
          </m:dPr>
          <m:e>
            <m:r>
              <m:t>u</m:t>
            </m:r>
            <m:r>
              <m:rPr>
                <m:sty m:val="p"/>
              </m:rPr>
              <m:t>−</m:t>
            </m:r>
            <m:sSub>
              <m:e>
                <m:r>
                  <m:t>u</m:t>
                </m:r>
              </m:e>
              <m:sub>
                <m:r>
                  <m:t>k</m:t>
                </m:r>
                <m:r>
                  <m:rPr>
                    <m:sty m:val="p"/>
                  </m:rPr>
                  <m:t>−</m:t>
                </m:r>
                <m:r>
                  <m:t>1</m:t>
                </m:r>
              </m:sub>
            </m:sSub>
          </m:e>
        </m:d>
        <m:r>
          <m:rPr>
            <m:sty m:val="p"/>
          </m:rPr>
          <m:t>≤</m:t>
        </m:r>
        <m:r>
          <m:t>Δ</m:t>
        </m:r>
        <m:sSub>
          <m:e>
            <m:r>
              <m:t>u</m:t>
            </m:r>
          </m:e>
          <m:sub>
            <m:r>
              <m:t>m</m:t>
            </m:r>
            <m:r>
              <m:t>a</m:t>
            </m:r>
            <m:r>
              <m:t>x</m:t>
            </m:r>
          </m:sub>
        </m:sSub>
        <m:r>
          <m:rPr>
            <m:sty m:val="p"/>
          </m:rPr>
          <m:t>}</m:t>
        </m:r>
      </m:oMath>
      <w:r>
        <w:rPr>
          <w:rFonts w:ascii="Times New Roman" w:hAnsi="Times New Roman" w:eastAsia="宋体"/>
          <w:sz w:val="24"/>
        </w:rPr>
        <w:t xml:space="preserve">时，分配残差</w:t>
      </w:r>
      <m:oMath>
        <m:sSub>
          <m:e>
            <m:r>
              <m:t>r</m:t>
            </m:r>
          </m:e>
          <m:sub>
            <m:r>
              <m:t>k</m:t>
            </m:r>
          </m:sub>
        </m:sSub>
        <m:r>
          <m:rPr>
            <m:sty m:val="p"/>
          </m:rPr>
          <m:t>=</m:t>
        </m:r>
        <m:sSub>
          <m:e>
            <m:r>
              <m:t>τ</m:t>
            </m:r>
          </m:e>
          <m:sub>
            <m:r>
              <m:t>d</m:t>
            </m:r>
          </m:sub>
        </m:sSub>
        <m:r>
          <m:rPr>
            <m:sty m:val="p"/>
          </m:rPr>
          <m:t>−</m:t>
        </m:r>
        <m:r>
          <m:t>B</m:t>
        </m:r>
        <m:sSub>
          <m:e>
            <m:r>
              <m:t>u</m:t>
            </m:r>
          </m:e>
          <m:sub>
            <m:r>
              <m:rPr>
                <m:sty m:val="p"/>
              </m:rPr>
              <m:t>Q</m:t>
            </m:r>
            <m:r>
              <m:rPr>
                <m:sty m:val="p"/>
              </m:rPr>
              <m:t>P</m:t>
            </m:r>
          </m:sub>
        </m:sSub>
      </m:oMath>
      <w:r>
        <w:rPr>
          <w:rFonts w:ascii="Times New Roman" w:hAnsi="Times New Roman" w:eastAsia="宋体"/>
          <w:sz w:val="24"/>
        </w:rPr>
        <w:t xml:space="preserve">以未预测输入误差的形式进入真实闭环，导致下一采样时刻的状态与上层预测不一致。可行改进包括在MPC中使用可达广义力集合的保守近似，将残差反馈至扰动估计器，并根据当前推进器工作点动态收缩上层约束。一体化协同则直接以八路推力作为MPC决策变量，从结构上避免静态分配接口失配，却显著增加时域决策维数，并无法自动消除电机滞后、模型不确定性与时序误差。因此，兼顾计算预算与分配一致性的轻量分层协同策略，更适合作为可验证的工程研究切入点。</w:t>
      </w:r>
    </w:p>
    <w:bookmarkEnd w:id="22"/>
    <w:bookmarkStart w:id="23" w:name="px4开源飞控水下适配与闭环仿真验证现状"/>
    <w:p>
      <w:pPr>
        <w:pStyle w:val="PX4三级标题"/>
        <w:widowControl/>
        <w:ind w:firstLine="0"/>
        <w:jc w:val="left"/>
      </w:pPr>
      <w:r>
        <w:rPr>
          <w:rFonts w:ascii="Times New Roman" w:hAnsi="Times New Roman" w:eastAsia="黑体"/>
          <w:sz w:val="24"/>
        </w:rPr>
        <w:t xml:space="preserve">2.3 PX4开源飞控水下适配与闭环仿真验证现状</w:t>
      </w:r>
    </w:p>
    <w:p>
      <w:pPr>
        <w:pStyle w:val="PX4正文"/>
        <w:widowControl/>
        <w:ind w:firstLine="480"/>
        <w:jc w:val="both"/>
      </w:pPr>
      <w:r>
        <w:rPr>
          <w:rFonts w:ascii="Times New Roman" w:hAnsi="Times New Roman" w:eastAsia="宋体"/>
          <w:sz w:val="24"/>
        </w:rPr>
        <w:t xml:space="preserve">算法从离线数值仿真走向工程系统，须经历飞控平台集成与全链路闭环验证的关键环节。实际飞控软件的实时调度、通信协议时序、执行器指令映射及传感器数据延迟等系统级因素，均可能在算法移植过程中引入离线仿真阶段难以预见的性能劣化，使得系统级闭环验证成为算法工程化不可省略的路径。</w:t>
      </w:r>
    </w:p>
    <w:p>
      <w:pPr>
        <w:pStyle w:val="PX4正文"/>
        <w:widowControl/>
        <w:ind w:firstLine="480"/>
        <w:jc w:val="both"/>
      </w:pPr>
      <w:r>
        <w:rPr>
          <w:rFonts w:ascii="Times New Roman" w:hAnsi="Times New Roman" w:eastAsia="宋体"/>
          <w:sz w:val="24"/>
        </w:rPr>
        <w:t xml:space="preserve">PX4采用微内核式模块化设计思想，Meier等[34]给出了其面向嵌入式平台的多线程软件架构。状态估计、运动控制与执行器输出通过uORB发布—订阅接口交换数据，为替换和扩展控制模块提供边界清晰的软件通道。官方Control Allocator[35]根据电机效能矩阵和构型信息进行执行器几何混控，并具有既定的输出限幅与饱和处理机制；但这不等同于已提供针对水下八推进器、可独立设置推力/变化率约束和优化目标的通用QP模块。因此，研究型优化分配需明确其与原有执行器控制链的接口及安全回退策略。</w:t>
      </w:r>
    </w:p>
    <w:p>
      <w:pPr>
        <w:pStyle w:val="PX4正文"/>
        <w:widowControl/>
        <w:ind w:firstLine="480"/>
        <w:jc w:val="both"/>
      </w:pPr>
      <w:r>
        <w:rPr>
          <w:rFonts w:ascii="Times New Roman" w:hAnsi="Times New Roman" w:eastAsia="宋体"/>
          <w:sz w:val="24"/>
        </w:rPr>
        <w:t xml:space="preserve">PX4官方将UUV功能标为实验性支持[4]，BlueROV2 Heavy机型文档[36]列出Manual、Stabilized、Acro、Altitude、Position五种模式。Manual为直接推力与艏向操纵；Stabilized在手动推力/艏向基础上稳定横滚与俯仰；Acro以艏向角速度命令为主并保持横滚/俯仰稳定；Altitude对高度实施PID闭环；Position可在摇杆释放时保持位置及艏向，并维持横滚/俯仰稳定。由此可见，PID类反馈主要承担自稳与保持等闭环功能，而不能将Manual等所有模式简单归为PID控制。现有UUV标准功能尚不等同于面向六维水动力与单推进器硬约束的完整MPC—QP控制体系。</w:t>
      </w:r>
    </w:p>
    <w:p>
      <w:pPr>
        <w:pStyle w:val="PX4正文"/>
        <w:widowControl/>
        <w:ind w:firstLine="480"/>
        <w:jc w:val="both"/>
      </w:pPr>
      <w:r>
        <w:rPr>
          <w:rFonts w:ascii="Times New Roman" w:hAnsi="Times New Roman" w:eastAsia="宋体"/>
          <w:sz w:val="24"/>
        </w:rPr>
        <w:t xml:space="preserve">高阶算法可采用固件内部集成，或通过Offboard模式由伴随计算机承载优化[37]。后者可借助MAVLink消息（如</w:t>
      </w:r>
      <w:r>
        <w:rPr>
          <w:rStyle w:val="VerbatimChar"/>
          <w:rFonts w:ascii="Times New Roman" w:hAnsi="Times New Roman" w:eastAsia="宋体"/>
          <w:sz w:val="24"/>
        </w:rPr>
        <w:t xml:space="preserve">SET_ATTITUDE_TARGET</w:t>
      </w:r>
      <w:r>
        <w:rPr>
          <w:rFonts w:ascii="Times New Roman" w:hAnsi="Times New Roman" w:eastAsia="宋体"/>
          <w:sz w:val="24"/>
        </w:rPr>
        <w:t xml:space="preserve">、</w:t>
      </w:r>
      <w:r>
        <w:rPr>
          <w:rStyle w:val="VerbatimChar"/>
          <w:rFonts w:ascii="Times New Roman" w:hAnsi="Times New Roman" w:eastAsia="宋体"/>
          <w:sz w:val="24"/>
        </w:rPr>
        <w:t xml:space="preserve">SET_POSITION_TARGET_LOCAL_NED</w:t>
      </w:r>
      <w:r>
        <w:rPr>
          <w:rFonts w:ascii="Times New Roman" w:hAnsi="Times New Roman" w:eastAsia="宋体"/>
          <w:sz w:val="24"/>
        </w:rPr>
        <w:t xml:space="preserve">）传递适用机型的姿态或位置等设定值，并由PX4内部控制回路继续处理；但相关消息支持类型、坐标系与有效字段由固件版本及具体UUV控制接口决定，不能假定它们等价于直接下发八路推进器推力。外部闭环还须处理状态时间戳、消息频率、链路时延抖动与失联保护；固件原生集成虽缩短控制链路，仍受处理器预算、uORB调度周期及优化求解最坏时延约束。平台适配的核心是建立“输入语义—状态估计—优化器—分配输出”一致的数据链，而非只实现一段控制律代码。</w:t>
      </w:r>
    </w:p>
    <w:p>
      <w:pPr>
        <w:pStyle w:val="PX4正文"/>
        <w:widowControl/>
        <w:ind w:firstLine="480"/>
        <w:jc w:val="both"/>
      </w:pPr>
      <w:r>
        <w:rPr>
          <w:rFonts w:ascii="Times New Roman" w:hAnsi="Times New Roman" w:eastAsia="宋体"/>
          <w:sz w:val="24"/>
        </w:rPr>
        <w:t xml:space="preserve">验证手段亦从MATLAB/Simulink等离线数值仿真转向PX4与Gazebo联合运行的SITL。von Benzon等[10]的BlueROV2模型适于独立核对水动力与算法逻辑，却不经过真实飞控的消息队列、任务调度、执行器映射和失联判据，因而与工程软件存在“系统级语义鸿沟”。在SITL中，水下动力学可利用Gazebo Classic的</w:t>
      </w:r>
      <w:r>
        <w:rPr>
          <w:rStyle w:val="VerbatimChar"/>
          <w:rFonts w:ascii="Times New Roman" w:hAnsi="Times New Roman" w:eastAsia="宋体"/>
          <w:sz w:val="24"/>
        </w:rPr>
        <w:t xml:space="preserve">BuoyancyPlugin</w:t>
      </w:r>
      <w:r>
        <w:rPr>
          <w:rFonts w:ascii="Times New Roman" w:hAnsi="Times New Roman" w:eastAsia="宋体"/>
          <w:sz w:val="24"/>
        </w:rPr>
        <w:t xml:space="preserve">、</w:t>
      </w:r>
      <w:r>
        <w:rPr>
          <w:rStyle w:val="VerbatimChar"/>
          <w:rFonts w:ascii="Times New Roman" w:hAnsi="Times New Roman" w:eastAsia="宋体"/>
          <w:sz w:val="24"/>
        </w:rPr>
        <w:t xml:space="preserve">ThrusterPlugin</w:t>
      </w:r>
      <w:r>
        <w:rPr>
          <w:rFonts w:ascii="Times New Roman" w:hAnsi="Times New Roman" w:eastAsia="宋体"/>
          <w:sz w:val="24"/>
        </w:rPr>
        <w:t xml:space="preserve">思路或新版Gazebo Sim的Buoyancy、Thruster、Hydrodynamics系统组件实现；二者命名及SDF接口依仿真版本而异。仿真须显式包含浮重力、附加质量、速度阻尼、推力—指令非线性与传感器噪声，并记录轨迹误差、约束违例、分配残差、求解耗时及端到端延迟。SITL可检验软件链路，但不能替代硬件在环对处理器确定性和真实推进器动态的最终验证。</w:t>
      </w:r>
    </w:p>
    <w:bookmarkEnd w:id="23"/>
    <w:bookmarkStart w:id="24" w:name="发展趋势与本课题研究切入点"/>
    <w:p>
      <w:pPr>
        <w:pStyle w:val="PX4三级标题"/>
        <w:widowControl/>
        <w:ind w:firstLine="0"/>
        <w:jc w:val="left"/>
      </w:pPr>
      <w:r>
        <w:rPr>
          <w:rFonts w:ascii="Times New Roman" w:hAnsi="Times New Roman" w:eastAsia="黑体"/>
          <w:sz w:val="24"/>
        </w:rPr>
        <w:t xml:space="preserve">2.4 发展趋势与本课题研究切入点</w:t>
      </w:r>
    </w:p>
    <w:p>
      <w:pPr>
        <w:pStyle w:val="PX4正文"/>
        <w:widowControl/>
        <w:ind w:firstLine="480"/>
        <w:jc w:val="both"/>
      </w:pPr>
      <w:r>
        <w:rPr>
          <w:rFonts w:ascii="Times New Roman" w:hAnsi="Times New Roman" w:eastAsia="宋体"/>
          <w:sz w:val="24"/>
        </w:rPr>
        <w:t>三大发展趋势方面，上述研究现状呈现出三条清晰的演进方向。其一，动力学建模正从单一机理方法向物理引导的机理—数据融合范式演进，以灰箱结构在物理一致性约束与数据拟合灵活性之间实现互补，预测精度与模型泛化性均获提升。其二，运动控制正从单轴解耦反馈向多变量约束协同优化演进，MPC 与优化推力分配的一体化或分层协同架构成为多冗余推进器场景下的研究前沿，以期在全局最优分配与实时求解效率间取得有效平衡。其三，验证范式正从离线算法仿真向飞控系统集成的全链路 SITL 闭环验证演进，以暴露系统级时序非理想因素，提升算法从仿真到实机部署的高置信度迁移能力。</w:t>
      </w:r>
    </w:p>
    <w:p>
      <w:pPr>
        <w:pStyle w:val="PX4正文"/>
        <w:widowControl/>
        <w:ind w:firstLine="480"/>
        <w:jc w:val="both"/>
      </w:pPr>
      <w:r>
        <w:rPr>
          <w:rFonts w:ascii="Times New Roman" w:hAnsi="Times New Roman" w:eastAsia="宋体"/>
          <w:sz w:val="24"/>
        </w:rPr>
        <w:t>三大跨层瓶颈与证据缺口方面，综观现有研究，针对八推进器全向水下航行器，前人工作在以下三个层面尚未形成贯通性解决方案。</w:t>
      </w:r>
    </w:p>
    <w:p>
      <w:pPr>
        <w:pStyle w:val="PX4正文"/>
        <w:widowControl/>
        <w:ind w:firstLine="480"/>
        <w:jc w:val="both"/>
      </w:pPr>
      <w:r>
        <w:rPr>
          <w:rFonts w:ascii="Times New Roman" w:hAnsi="Times New Roman" w:eastAsia="宋体"/>
          <w:sz w:val="24"/>
        </w:rPr>
        <w:t>模型端：现有机理建模在复杂水动力阻尼耦合效应的全速域预测上存在精度局限，CFD 与试验辨识的获取成本较高且难以在线更新；数据驱动方法虽具备拟合复杂非线性的能力，但在训练覆盖不足工况下的泛化稳定性有待保证；物理引导灰箱建模虽展现出融合优势，但如何将其高效嵌入嵌入式实时控制循环，在有限算力约束下保障在线预测的时效性，仍缺乏针对八推进器全向构型的系统性验证。</w:t>
      </w:r>
    </w:p>
    <w:p>
      <w:pPr>
        <w:pStyle w:val="PX4正文"/>
        <w:widowControl/>
        <w:ind w:firstLine="480"/>
        <w:jc w:val="both"/>
      </w:pPr>
      <w:r>
        <w:rPr>
          <w:rFonts w:ascii="Times New Roman" w:hAnsi="Times New Roman" w:eastAsia="宋体"/>
          <w:sz w:val="24"/>
        </w:rPr>
        <w:t>控制端：现有分层架构中，上层 MPC 的广义力期望与下层推进器实际可达的约束可行域之间存在动态失配风险——当下层推进器饱和时，上层预测模型的自洽性遭到破坏，闭环稳定性与跟踪性能均受影响；一体化协同优化虽可消除层间失配，但其维数增长与非凸求解负担在嵌入式平台上的实时可行性，目前尚缺乏针对八推进器全向布局的充分验证。</w:t>
      </w:r>
    </w:p>
    <w:p>
      <w:pPr>
        <w:pStyle w:val="PX4正文"/>
        <w:widowControl/>
        <w:ind w:firstLine="480"/>
        <w:jc w:val="both"/>
      </w:pPr>
      <w:r>
        <w:rPr>
          <w:rFonts w:ascii="Times New Roman" w:hAnsi="Times New Roman" w:eastAsia="宋体"/>
          <w:sz w:val="24"/>
        </w:rPr>
        <w:t>平台端：PX4 官方水下支持以 PID 为核心控制结构，混控模块缺乏原生受约束优化分配能力；Offboard 外部控制模式引入的通信时延与调度周期不一致对高频闭环控制的影响，以及固件内部实现高阶优化算法的嵌入式算力边界，均尚未在八推进器全向航行器场景下得到系统评估；PX4/Gazebo SITL 框架下针对该构型的系统级闭环验证工作在公开文献中尚属缺位。</w:t>
      </w:r>
    </w:p>
    <w:p>
      <w:pPr>
        <w:pStyle w:val="PX4正文"/>
        <w:widowControl/>
        <w:ind w:firstLine="480"/>
        <w:jc w:val="both"/>
      </w:pPr>
      <w:r>
        <w:rPr>
          <w:rFonts w:ascii="Times New Roman" w:hAnsi="Times New Roman" w:eastAsia="宋体"/>
          <w:sz w:val="24"/>
        </w:rPr>
        <w:t>本课题切入点与方案牵引方面，针对上述跨层瓶颈，本课题拟从以下三个层面贯通展开研究：在模型层，以 BlueROV2 Heavy 为对象，构建兼顾物理一致性与嵌入式实时计算需求的控制导向水动力模型；在控制层，研究分层受约束模型预测控制与多推进器优化推力分配的协同架构，系统分析层间动态失配机制并提出相应应对策略；在平台层，探索高阶优化算法在 PX4 飞控体系下的接口适配方案，并依托 PX4/Gazebo SITL 闭环仿真框架对完整控制链路进行系统级验证。三层研究内容相互支撑，共同构成后文"主要研究内容与技术方案"的展开基础。</w:t>
      </w:r>
    </w:p>
    <w:bookmarkEnd w:id="24"/>
    <w:bookmarkEnd w:id="25"/>
    <w:bookmarkEnd w:id="26"/>
    <w:bookmarkStart w:id="30" w:name="二毕业论文方案介绍"/>
    <w:p>
      <w:pPr>
        <w:pStyle w:val="PX4节标题"/>
        <w:widowControl/>
        <w:ind w:firstLine="0"/>
        <w:jc w:val="left"/>
      </w:pPr>
      <w:r>
        <w:rPr>
          <w:rFonts w:ascii="Times New Roman" w:hAnsi="Times New Roman" w:eastAsia="黑体"/>
          <w:sz w:val="24"/>
        </w:rPr>
        <w:t xml:space="preserve">二、毕业论文方案介绍</w:t>
      </w:r>
    </w:p>
    <w:bookmarkStart w:id="27" w:name="主要研究内容"/>
    <w:p>
      <w:pPr>
        <w:pStyle w:val="PX4二级标题"/>
        <w:widowControl/>
        <w:ind w:firstLine="0"/>
        <w:jc w:val="left"/>
      </w:pPr>
      <w:r>
        <w:rPr>
          <w:rFonts w:ascii="Times New Roman" w:hAnsi="Times New Roman" w:eastAsia="黑体"/>
          <w:sz w:val="24"/>
        </w:rPr>
        <w:t xml:space="preserve">1．主要研究内容</w:t>
      </w:r>
    </w:p>
    <w:p>
      <w:pPr>
        <w:pStyle w:val="PX4占位"/>
        <w:widowControl/>
        <w:jc w:val="left"/>
      </w:pPr>
      <w:r>
        <w:rPr>
          <w:rFonts w:ascii="Times New Roman" w:hAnsi="Times New Roman" w:eastAsia="宋体"/>
          <w:sz w:val="22"/>
        </w:rPr>
        <w:t xml:space="preserve">（待后续阶段撰写）</w:t>
      </w:r>
    </w:p>
    <w:bookmarkEnd w:id="27"/>
    <w:bookmarkStart w:id="28" w:name="研究方案"/>
    <w:p>
      <w:pPr>
        <w:pStyle w:val="PX4二级标题"/>
        <w:widowControl/>
        <w:ind w:firstLine="0"/>
        <w:jc w:val="left"/>
      </w:pPr>
      <w:r>
        <w:rPr>
          <w:rFonts w:ascii="Times New Roman" w:hAnsi="Times New Roman" w:eastAsia="黑体"/>
          <w:sz w:val="24"/>
        </w:rPr>
        <w:t xml:space="preserve">2．研究方案</w:t>
      </w:r>
    </w:p>
    <w:p>
      <w:pPr>
        <w:pStyle w:val="PX4占位"/>
        <w:widowControl/>
        <w:jc w:val="left"/>
      </w:pPr>
      <w:r>
        <w:rPr>
          <w:rFonts w:ascii="Times New Roman" w:hAnsi="Times New Roman" w:eastAsia="宋体"/>
          <w:sz w:val="22"/>
        </w:rPr>
        <w:t xml:space="preserve">（待后续阶段撰写）</w:t>
      </w:r>
    </w:p>
    <w:bookmarkEnd w:id="28"/>
    <w:bookmarkStart w:id="29" w:name="工作进度安排"/>
    <w:p>
      <w:pPr>
        <w:pStyle w:val="PX4二级标题"/>
        <w:widowControl/>
        <w:ind w:firstLine="0"/>
        <w:jc w:val="left"/>
      </w:pPr>
      <w:r>
        <w:rPr>
          <w:rFonts w:ascii="Times New Roman" w:hAnsi="Times New Roman" w:eastAsia="黑体"/>
          <w:sz w:val="24"/>
        </w:rPr>
        <w:t xml:space="preserve">3．工作进度安排</w:t>
      </w:r>
    </w:p>
    <w:p>
      <w:pPr>
        <w:pStyle w:val="PX4占位"/>
        <w:widowControl/>
        <w:jc w:val="left"/>
      </w:pPr>
      <w:r>
        <w:rPr>
          <w:rFonts w:ascii="Times New Roman" w:hAnsi="Times New Roman" w:eastAsia="宋体"/>
          <w:sz w:val="22"/>
        </w:rPr>
        <w:t xml:space="preserve">（待后续阶段撰写）</w:t>
      </w:r>
    </w:p>
    <w:bookmarkEnd w:id="29"/>
    <w:bookmarkEnd w:id="30"/>
    <w:bookmarkStart w:id="31" w:name="三毕业论文的主要参考文献"/>
    <w:p>
      <w:pPr>
        <w:pStyle w:val="PX4节标题"/>
        <w:widowControl/>
        <w:ind w:firstLine="0"/>
        <w:jc w:val="left"/>
      </w:pPr>
      <w:r>
        <w:rPr>
          <w:rFonts w:ascii="Times New Roman" w:hAnsi="Times New Roman" w:eastAsia="黑体"/>
          <w:sz w:val="24"/>
        </w:rPr>
        <w:t xml:space="preserve">三、毕业论文的主要参考文献</w:t>
      </w:r>
    </w:p>
    <w:p>
      <w:pPr>
        <w:pStyle w:val="PX4参考文献"/>
        <w:keepLines/>
        <w:widowControl/>
        <w:ind w:left="442" w:hanging="442"/>
        <w:jc w:val="left"/>
      </w:pPr>
      <w:r>
        <w:rPr>
          <w:rFonts w:ascii="Times New Roman" w:hAnsi="Times New Roman" w:eastAsia="宋体"/>
          <w:sz w:val="21"/>
        </w:rPr>
        <w:t>[1] 工业和信息化部, 国家发展和改革委员会, 科学技术部, 等. “十四五”机器人产业发展规划[J]. 中华人民共和国工业和信息化部公报, 2021(12): 20-27.</w:t>
      </w:r>
    </w:p>
    <w:p>
      <w:pPr>
        <w:pStyle w:val="PX4参考文献"/>
        <w:keepLines/>
        <w:widowControl/>
        <w:ind w:left="442" w:hanging="442"/>
        <w:jc w:val="left"/>
      </w:pPr>
      <w:r>
        <w:rPr>
          <w:rFonts w:ascii="Times New Roman" w:hAnsi="Times New Roman" w:eastAsia="宋体"/>
          <w:sz w:val="21"/>
        </w:rPr>
        <w:t>[2] 工业和信息化部, 教育部, 科学技术部, 等. “机器人+”应用行动实施方案[J]. 中华人民共和国工业和信息化部公报, 2023(1): 18-24.</w:t>
      </w:r>
    </w:p>
    <w:p>
      <w:pPr>
        <w:pStyle w:val="PX4参考文献"/>
        <w:keepLines/>
        <w:widowControl/>
        <w:ind w:left="442" w:hanging="442"/>
        <w:jc w:val="left"/>
      </w:pPr>
      <w:r>
        <w:rPr>
          <w:rFonts w:ascii="Times New Roman" w:hAnsi="Times New Roman" w:eastAsia="宋体"/>
          <w:sz w:val="21"/>
        </w:rPr>
        <w:t>[3] FOSSEN T I. Handbook of Marine Craft Hydrodynamics and Motion Control[M]. 2nd ed. Chichester, UK: John Wiley &amp; Sons, 2021.</w:t>
      </w:r>
    </w:p>
    <w:p>
      <w:pPr>
        <w:pStyle w:val="PX4参考文献"/>
        <w:keepLines/>
        <w:widowControl/>
        <w:ind w:left="442" w:hanging="442"/>
        <w:jc w:val="left"/>
      </w:pPr>
      <w:r>
        <w:rPr>
          <w:rFonts w:ascii="Times New Roman" w:hAnsi="Times New Roman" w:eastAsia="宋体"/>
          <w:sz w:val="21"/>
        </w:rPr>
        <w:t>[4] PX4 Development Team. Submarines (Unmanned Underwater Vehicles—UUV)[EB/OL]. (2024)[2026-10-10]. https://docs.px4.io/main/en/frames_sub/index.</w:t>
      </w:r>
    </w:p>
    <w:p>
      <w:pPr>
        <w:pStyle w:val="PX4参考文献"/>
        <w:keepLines/>
        <w:widowControl/>
        <w:ind w:left="442" w:hanging="442"/>
        <w:jc w:val="left"/>
      </w:pPr>
      <w:r>
        <w:rPr>
          <w:rFonts w:ascii="Times New Roman" w:hAnsi="Times New Roman" w:eastAsia="宋体"/>
          <w:sz w:val="21"/>
        </w:rPr>
        <w:t>[5] FOSSEN T I. Nonlinear modelling of marine vehicles in 6 degrees of freedom[J]. Mathematical Modelling of Systems, 1995, 1(1): 17-27.</w:t>
      </w:r>
    </w:p>
    <w:p>
      <w:pPr>
        <w:pStyle w:val="PX4参考文献"/>
        <w:keepLines/>
        <w:widowControl/>
        <w:ind w:left="442" w:hanging="442"/>
        <w:jc w:val="left"/>
      </w:pPr>
      <w:r>
        <w:rPr>
          <w:rFonts w:ascii="Times New Roman" w:hAnsi="Times New Roman" w:eastAsia="宋体"/>
          <w:sz w:val="21"/>
        </w:rPr>
        <w:t>[6] 严卫生, 高剑, 崔荣鑫, 等. 水下航行器控制技术[M]. 北京: 国防工业出版社, 2020.</w:t>
      </w:r>
    </w:p>
    <w:p>
      <w:pPr>
        <w:pStyle w:val="PX4参考文献"/>
        <w:keepLines/>
        <w:widowControl/>
        <w:ind w:left="442" w:hanging="442"/>
        <w:jc w:val="left"/>
      </w:pPr>
      <w:r>
        <w:rPr>
          <w:rFonts w:ascii="Times New Roman" w:hAnsi="Times New Roman" w:eastAsia="宋体"/>
          <w:sz w:val="21"/>
        </w:rPr>
        <w:t>[7] PRESTERO T. Verification of a six-degree of freedom simulation model for the REMUS autonomous underwater vehicle[D]. Cambridge, MA: Massachusetts Institute of Technology, 2001.</w:t>
      </w:r>
    </w:p>
    <w:p>
      <w:pPr>
        <w:pStyle w:val="PX4参考文献"/>
        <w:keepLines/>
        <w:widowControl/>
        <w:ind w:left="442" w:hanging="442"/>
        <w:jc w:val="left"/>
      </w:pPr>
      <w:r>
        <w:rPr>
          <w:rFonts w:ascii="Times New Roman" w:hAnsi="Times New Roman" w:eastAsia="宋体"/>
          <w:sz w:val="21"/>
        </w:rPr>
        <w:t>[8] CACCIA M, INDIVERI G, VERUGGIO G. Modeling and identification of open-frame variable configuration unmanned underwater vehicles[J]. IEEE Journal of Oceanic Engineering, 2000, 25(2): 227-240.</w:t>
      </w:r>
    </w:p>
    <w:p>
      <w:pPr>
        <w:pStyle w:val="PX4参考文献"/>
        <w:keepLines/>
        <w:widowControl/>
        <w:ind w:left="442" w:hanging="442"/>
        <w:jc w:val="left"/>
      </w:pPr>
      <w:r>
        <w:rPr>
          <w:rFonts w:ascii="Times New Roman" w:hAnsi="Times New Roman" w:eastAsia="宋体"/>
          <w:sz w:val="21"/>
        </w:rPr>
        <w:t>[9] SMALLWOOD D A, WHITCOMB L L. Model-based dynamic positioning of underwater robotic vehicles: Theory and experiment[J]. IEEE Journal of Oceanic Engineering, 2004, 29(1): 169-186.</w:t>
      </w:r>
    </w:p>
    <w:p>
      <w:pPr>
        <w:pStyle w:val="PX4参考文献"/>
        <w:keepLines/>
        <w:widowControl/>
        <w:ind w:left="442" w:hanging="442"/>
        <w:jc w:val="left"/>
      </w:pPr>
      <w:r>
        <w:rPr>
          <w:rFonts w:ascii="Times New Roman" w:hAnsi="Times New Roman" w:eastAsia="宋体"/>
          <w:sz w:val="21"/>
        </w:rPr>
        <w:t>[10] VON BENZON M, SØRENSEN F F, UTH E, et al. An open-source benchmark simulator: Control of a BlueROV2 underwater robot[J]. Journal of Marine Science and Engineering, 2022, 10(12): 1898.</w:t>
      </w:r>
    </w:p>
    <w:p>
      <w:pPr>
        <w:pStyle w:val="PX4参考文献"/>
        <w:keepLines/>
        <w:widowControl/>
        <w:ind w:left="442" w:hanging="442"/>
        <w:jc w:val="left"/>
      </w:pPr>
      <w:r>
        <w:rPr>
          <w:rFonts w:ascii="Times New Roman" w:hAnsi="Times New Roman" w:eastAsia="宋体"/>
          <w:sz w:val="21"/>
        </w:rPr>
        <w:t>[11] 高婷, 庞永杰, 王亚兴, 等. 水下航行器水动力系数计算方法[J]. 哈尔滨工程大学学报, 2019, 40(1): 174-180.</w:t>
      </w:r>
    </w:p>
    <w:p>
      <w:pPr>
        <w:pStyle w:val="PX4参考文献"/>
        <w:keepLines/>
        <w:widowControl/>
        <w:ind w:left="442" w:hanging="442"/>
        <w:jc w:val="left"/>
      </w:pPr>
      <w:r>
        <w:rPr>
          <w:rFonts w:ascii="Times New Roman" w:hAnsi="Times New Roman" w:eastAsia="宋体"/>
          <w:sz w:val="21"/>
        </w:rPr>
        <w:t>[12] CHIN C S, LAU M W S. Modeling and testing of hydrodynamic damping for a complex-shaped underwater robot operating at low speed[C]//2012 Oceans - Yeosu. Yeosu, Korea: IEEE, 2012: 1-7.</w:t>
      </w:r>
    </w:p>
    <w:p>
      <w:pPr>
        <w:pStyle w:val="PX4参考文献"/>
        <w:keepLines/>
        <w:widowControl/>
        <w:ind w:left="442" w:hanging="442"/>
        <w:jc w:val="left"/>
      </w:pPr>
      <w:r>
        <w:rPr>
          <w:rFonts w:ascii="Times New Roman" w:hAnsi="Times New Roman" w:eastAsia="宋体"/>
          <w:sz w:val="21"/>
        </w:rPr>
        <w:t>[13] ROSS A, FOSSEN T I, JOHANSEN T A. Identification of underwater vehicle hydrodynamic coefficients using free decay tests[C]//IFAC Conference on Control Applications in Marine Systems. Ancona, Italy: IFAC, 2004: 363-368.</w:t>
      </w:r>
    </w:p>
    <w:p>
      <w:pPr>
        <w:pStyle w:val="PX4参考文献"/>
        <w:keepLines/>
        <w:widowControl/>
        <w:ind w:left="442" w:hanging="442"/>
        <w:jc w:val="left"/>
      </w:pPr>
      <w:r>
        <w:rPr>
          <w:rFonts w:ascii="Times New Roman" w:hAnsi="Times New Roman" w:eastAsia="宋体"/>
          <w:sz w:val="21"/>
        </w:rPr>
        <w:t>[14] AVILA J P J, ADAMOWSKI J C. Experimental model identification of open-frame unmanned underwater vehicles[C]//2013 Oceans - San Diego. San Diego, CA: IEEE, 2013: 1-7.</w:t>
      </w:r>
    </w:p>
    <w:p>
      <w:pPr>
        <w:pStyle w:val="PX4参考文献"/>
        <w:keepLines/>
        <w:widowControl/>
        <w:ind w:left="442" w:hanging="442"/>
        <w:jc w:val="left"/>
      </w:pPr>
      <w:r>
        <w:rPr>
          <w:rFonts w:ascii="Times New Roman" w:hAnsi="Times New Roman" w:eastAsia="宋体"/>
          <w:sz w:val="21"/>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PX4参考文献"/>
        <w:keepLines/>
        <w:widowControl/>
        <w:ind w:left="442" w:hanging="442"/>
        <w:jc w:val="left"/>
      </w:pPr>
      <w:r>
        <w:rPr>
          <w:rFonts w:ascii="Times New Roman" w:hAnsi="Times New Roman" w:eastAsia="宋体"/>
          <w:sz w:val="21"/>
        </w:rPr>
        <w:t>[16] BRUNTON S L, PROCTOR J L, KUTZ J N. Discovering governing equations from data by sparse identification of nonlinear dynamical systems[J]. Proceedings of the National Academy of Sciences, 2016, 113(15): 3932-3937.</w:t>
      </w:r>
    </w:p>
    <w:p>
      <w:pPr>
        <w:pStyle w:val="PX4参考文献"/>
        <w:keepLines/>
        <w:widowControl/>
        <w:ind w:left="442" w:hanging="442"/>
        <w:jc w:val="left"/>
      </w:pPr>
      <w:r>
        <w:rPr>
          <w:rFonts w:ascii="Times New Roman" w:hAnsi="Times New Roman" w:eastAsia="宋体"/>
          <w:sz w:val="21"/>
        </w:rPr>
        <w:t>[17] RAISSI M, PERDIKARIS P, KARNIADAKIS G E. Physics-informed neural networks: A deep learning framework for solving forward and inverse problems involving nonlinear partial differential equations[J]. Journal of Computational Physics, 2019, 378: 686-707.</w:t>
      </w:r>
    </w:p>
    <w:p>
      <w:pPr>
        <w:pStyle w:val="PX4参考文献"/>
        <w:keepLines/>
        <w:widowControl/>
        <w:ind w:left="442" w:hanging="442"/>
        <w:jc w:val="left"/>
      </w:pPr>
      <w:r>
        <w:rPr>
          <w:rFonts w:ascii="Times New Roman" w:hAnsi="Times New Roman" w:eastAsia="宋体"/>
          <w:sz w:val="21"/>
        </w:rPr>
        <w:t>[18] CHEN R T Q, RUBANOVA Y, BETTENCOURT J, et al. Neural ordinary differential equations[C]//Advances in Neural Information Processing Systems (NeurIPS 2018). Montréal, QC, Canada, 2018: 6571-6583.</w:t>
      </w:r>
    </w:p>
    <w:p>
      <w:pPr>
        <w:pStyle w:val="PX4参考文献"/>
        <w:keepLines/>
        <w:widowControl/>
        <w:ind w:left="442" w:hanging="442"/>
        <w:jc w:val="left"/>
      </w:pPr>
      <w:r>
        <w:rPr>
          <w:rFonts w:ascii="Times New Roman" w:hAnsi="Times New Roman" w:eastAsia="宋体"/>
          <w:sz w:val="21"/>
        </w:rPr>
        <w:t>[19] LIU A, ZHANG X, XIAO F, et al. Koopman-based online identification with Sim2Real transfer for hydrodynamic modeling of turtle-inspired robot[J]. IEEE Robotics and Automation Letters, 2026, 11(6): 6632-6639.</w:t>
      </w:r>
    </w:p>
    <w:p>
      <w:pPr>
        <w:pStyle w:val="PX4参考文献"/>
        <w:keepLines/>
        <w:widowControl/>
        <w:ind w:left="442" w:hanging="442"/>
        <w:jc w:val="left"/>
      </w:pPr>
      <w:r>
        <w:rPr>
          <w:rFonts w:ascii="Times New Roman" w:hAnsi="Times New Roman" w:eastAsia="宋体"/>
          <w:sz w:val="21"/>
        </w:rPr>
        <w:t>[20] YUH J. Design and control of autonomous underwater robots: A survey[J]. Autonomous Robots, 2000, 8(1): 7-24.</w:t>
      </w:r>
    </w:p>
    <w:p>
      <w:pPr>
        <w:pStyle w:val="PX4参考文献"/>
        <w:keepLines/>
        <w:widowControl/>
        <w:ind w:left="442" w:hanging="442"/>
        <w:jc w:val="left"/>
      </w:pPr>
      <w:r>
        <w:rPr>
          <w:rFonts w:ascii="Times New Roman" w:hAnsi="Times New Roman" w:eastAsia="宋体"/>
          <w:sz w:val="21"/>
        </w:rPr>
        <w:t>[21] 朱大奇, 孙兵. 水下机器人运动控制研究进展[J]. 控制与决策, 2012, 27(3): 321-333.</w:t>
      </w:r>
    </w:p>
    <w:p>
      <w:pPr>
        <w:pStyle w:val="PX4参考文献"/>
        <w:keepLines/>
        <w:widowControl/>
        <w:ind w:left="442" w:hanging="442"/>
        <w:jc w:val="left"/>
      </w:pPr>
      <w:r>
        <w:rPr>
          <w:rFonts w:ascii="Times New Roman" w:hAnsi="Times New Roman" w:eastAsia="宋体"/>
          <w:sz w:val="21"/>
        </w:rPr>
        <w:t>[22] YOERGER D R, SLOTINE J J E. Robust trajectory control of underwater vehicles[J]. IEEE Journal of Oceanic Engineering, 1985, 10(4): 462-470.</w:t>
      </w:r>
    </w:p>
    <w:p>
      <w:pPr>
        <w:pStyle w:val="PX4参考文献"/>
        <w:keepLines/>
        <w:widowControl/>
        <w:ind w:left="442" w:hanging="442"/>
        <w:jc w:val="left"/>
      </w:pPr>
      <w:r>
        <w:rPr>
          <w:rFonts w:ascii="Times New Roman" w:hAnsi="Times New Roman" w:eastAsia="宋体"/>
          <w:sz w:val="21"/>
        </w:rPr>
        <w:t>[23] HEALEY A J, LIENARD D. Multivariable sliding mode control for autonomous diving and steering of unmanned underwater vehicles[J]. IEEE Journal of Oceanic Engineering, 1993, 18(3): 327-339.</w:t>
      </w:r>
    </w:p>
    <w:p>
      <w:pPr>
        <w:pStyle w:val="PX4参考文献"/>
        <w:keepLines/>
        <w:widowControl/>
        <w:ind w:left="442" w:hanging="442"/>
        <w:jc w:val="left"/>
      </w:pPr>
      <w:r>
        <w:rPr>
          <w:rFonts w:ascii="Times New Roman" w:hAnsi="Times New Roman" w:eastAsia="宋体"/>
          <w:sz w:val="21"/>
        </w:rPr>
        <w:t>[24] CHU Z, XIANG X, ZHU D, et al. Adaptive trajectory tracking control for remotely operated vehicles considering thruster dynamics and saturation constraints[J]. ISA Transactions, 2020, 100: 28-37.</w:t>
      </w:r>
    </w:p>
    <w:p>
      <w:pPr>
        <w:pStyle w:val="PX4参考文献"/>
        <w:keepLines/>
        <w:widowControl/>
        <w:ind w:left="442" w:hanging="442"/>
        <w:jc w:val="left"/>
      </w:pPr>
      <w:r>
        <w:rPr>
          <w:rFonts w:ascii="Times New Roman" w:hAnsi="Times New Roman" w:eastAsia="宋体"/>
          <w:sz w:val="21"/>
        </w:rPr>
        <w:t>[25] 张磊, 严卫生, 付明玉. 自主水下航行器模型预测控制研究现状与展望[J]. 控制理论与应用, 2018, 35(9): 1181-1192.</w:t>
      </w:r>
    </w:p>
    <w:p>
      <w:pPr>
        <w:pStyle w:val="PX4参考文献"/>
        <w:keepLines/>
        <w:widowControl/>
        <w:ind w:left="442" w:hanging="442"/>
        <w:jc w:val="left"/>
      </w:pPr>
      <w:r>
        <w:rPr>
          <w:rFonts w:ascii="Times New Roman" w:hAnsi="Times New Roman" w:eastAsia="宋体"/>
          <w:sz w:val="21"/>
        </w:rPr>
        <w:t>[26]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PX4参考文献"/>
        <w:keepLines/>
        <w:widowControl/>
        <w:ind w:left="442" w:hanging="442"/>
        <w:jc w:val="left"/>
      </w:pPr>
      <w:r>
        <w:rPr>
          <w:rFonts w:ascii="Times New Roman" w:hAnsi="Times New Roman" w:eastAsia="宋体"/>
          <w:sz w:val="21"/>
        </w:rPr>
        <w:t>[27] HESHMATI-ALAMDARI S, NIKOU A, DIMAROGONAS D V. Robust trajectory tracking control for underactuated autonomous underwater vehicles in uncertain environments[J]. IEEE Transactions on Automation Science and Engineering, 2020, 18(3): 1288-1301.</w:t>
      </w:r>
    </w:p>
    <w:p>
      <w:pPr>
        <w:pStyle w:val="PX4参考文献"/>
        <w:keepLines/>
        <w:widowControl/>
        <w:ind w:left="442" w:hanging="442"/>
        <w:jc w:val="left"/>
      </w:pPr>
      <w:r>
        <w:rPr>
          <w:rFonts w:ascii="Times New Roman" w:hAnsi="Times New Roman" w:eastAsia="宋体"/>
          <w:sz w:val="21"/>
        </w:rPr>
        <w:t>[28] JOHANSEN T A, FOSSEN T I. Control allocation: A survey[J]. Automatica, 2013, 49(5): 1087-1103.</w:t>
      </w:r>
    </w:p>
    <w:p>
      <w:pPr>
        <w:pStyle w:val="PX4参考文献"/>
        <w:keepLines/>
        <w:widowControl/>
        <w:ind w:left="442" w:hanging="442"/>
        <w:jc w:val="left"/>
      </w:pPr>
      <w:r>
        <w:rPr>
          <w:rFonts w:ascii="Times New Roman" w:hAnsi="Times New Roman" w:eastAsia="宋体"/>
          <w:sz w:val="21"/>
        </w:rPr>
        <w:t>[29] BODSON M. Evaluation of optimization methods for control allocation[J]. Journal of Guidance, Control, and Dynamics, 2002, 25(4): 703-711.</w:t>
      </w:r>
    </w:p>
    <w:p>
      <w:pPr>
        <w:pStyle w:val="PX4参考文献"/>
        <w:keepLines/>
        <w:widowControl/>
        <w:ind w:left="442" w:hanging="442"/>
        <w:jc w:val="left"/>
      </w:pPr>
      <w:r>
        <w:rPr>
          <w:rFonts w:ascii="Times New Roman" w:hAnsi="Times New Roman" w:eastAsia="宋体"/>
          <w:sz w:val="21"/>
        </w:rPr>
        <w:t>[30] HÄRKEGÅRD O. Efficient active set algorithms for solving constrained linear quadratic control allocation problems[J]. Journal of Guidance, Control, and Dynamics, 2002, 25(5): 827-835.</w:t>
      </w:r>
    </w:p>
    <w:p>
      <w:pPr>
        <w:pStyle w:val="PX4参考文献"/>
        <w:keepLines/>
        <w:widowControl/>
        <w:ind w:left="442" w:hanging="442"/>
        <w:jc w:val="left"/>
      </w:pPr>
      <w:r>
        <w:rPr>
          <w:rFonts w:ascii="Times New Roman" w:hAnsi="Times New Roman" w:eastAsia="宋体"/>
          <w:sz w:val="21"/>
        </w:rPr>
        <w:t>[31] 程卫平, 王猛, 曾现敏, 等. 基于可行方向法的水下机器人推力分配[J]. 舰船科学技术, 2022, 44(13): 102-106.</w:t>
      </w:r>
    </w:p>
    <w:p>
      <w:pPr>
        <w:pStyle w:val="PX4参考文献"/>
        <w:keepLines/>
        <w:widowControl/>
        <w:ind w:left="442" w:hanging="442"/>
        <w:jc w:val="left"/>
      </w:pPr>
      <w:r>
        <w:rPr>
          <w:rFonts w:ascii="Times New Roman" w:hAnsi="Times New Roman" w:eastAsia="宋体"/>
          <w:sz w:val="21"/>
        </w:rPr>
        <w:t>[32] 孙功武, 苏义鑫, 毛英, 等. 基于模糊逻辑的混合推进ROV多级推力分配策略[J]. 机器人, 2023, 45(4): 472-482.</w:t>
      </w:r>
    </w:p>
    <w:p>
      <w:pPr>
        <w:pStyle w:val="PX4参考文献"/>
        <w:keepLines/>
        <w:widowControl/>
        <w:ind w:left="442" w:hanging="442"/>
        <w:jc w:val="left"/>
      </w:pPr>
      <w:r>
        <w:rPr>
          <w:rFonts w:ascii="Times New Roman" w:hAnsi="Times New Roman" w:eastAsia="宋体"/>
          <w:sz w:val="21"/>
        </w:rPr>
        <w:t>[33] LI J H, LEE M J, KIM M G, et al. MCE-based direct FTC method for dynamic positioning of underwater vehicles with thruster redundancy[C]//2025 IEEE/RSJ International Conference on Intelligent Robots and Systems (IROS). Hangzhou, China: IEEE, 2025: 1542-1549. DOI: 10.1109/IROS60139.2025.11246250.</w:t>
      </w:r>
    </w:p>
    <w:p>
      <w:pPr>
        <w:pStyle w:val="PX4参考文献"/>
        <w:keepLines/>
        <w:widowControl/>
        <w:ind w:left="442" w:hanging="442"/>
        <w:jc w:val="left"/>
      </w:pPr>
      <w:r>
        <w:rPr>
          <w:rFonts w:ascii="Times New Roman" w:hAnsi="Times New Roman" w:eastAsia="宋体"/>
          <w:sz w:val="21"/>
        </w:rPr>
        <w:t>[34] MEIER L, HONEGGER D, POLLEFEYS M. PX4: A node-based multithreaded open source robotics framework for deeply embedded platforms[C]//2015 IEEE International Conference on Robotics and Automation (ICRA). Seattle, WA, USA: IEEE, 2015: 6235-6240.</w:t>
      </w:r>
    </w:p>
    <w:p>
      <w:pPr>
        <w:pStyle w:val="PX4参考文献"/>
        <w:keepLines/>
        <w:widowControl/>
        <w:ind w:left="442" w:hanging="442"/>
        <w:jc w:val="left"/>
      </w:pPr>
      <w:r>
        <w:rPr>
          <w:rFonts w:ascii="Times New Roman" w:hAnsi="Times New Roman" w:eastAsia="宋体"/>
          <w:sz w:val="21"/>
        </w:rPr>
        <w:t>[35] PX4 Development Team. Control Allocation (Mixing)[EB/OL]. [2026-10-10]. https://docs.px4.io/main/en/concept/control_allocation.</w:t>
      </w:r>
    </w:p>
    <w:p>
      <w:pPr>
        <w:pStyle w:val="PX4参考文献"/>
        <w:keepLines/>
        <w:widowControl/>
        <w:ind w:left="442" w:hanging="442"/>
        <w:jc w:val="left"/>
      </w:pPr>
      <w:r>
        <w:rPr>
          <w:rFonts w:ascii="Times New Roman" w:hAnsi="Times New Roman" w:eastAsia="宋体"/>
          <w:sz w:val="21"/>
        </w:rPr>
        <w:t>[36] PX4 Development Team. BlueROV2 (UUV)[EB/OL]. [2026-10-10]. https://docs.px4.io/main/en/frames_sub/bluerov2.</w:t>
      </w:r>
    </w:p>
    <w:p>
      <w:pPr>
        <w:pStyle w:val="PX4参考文献"/>
        <w:keepLines/>
        <w:widowControl/>
        <w:ind w:left="442" w:hanging="442"/>
        <w:jc w:val="left"/>
      </w:pPr>
      <w:r>
        <w:rPr>
          <w:rFonts w:ascii="Times New Roman" w:hAnsi="Times New Roman" w:eastAsia="宋体"/>
          <w:sz w:val="21"/>
        </w:rPr>
        <w:t>[37] PX4 Development Team. Offboard Mode (Generic/All Frames)[EB/OL]. [2026-10-10]. https://docs.px4.io/main/en/flight_modes/offboard.</w:t>
      </w:r>
    </w:p>
    <w:bookmarkEnd w:id="31"/>
    <w:sectPr>
      <w:footerReference w:type="default" r:id="rId7"/>
      <w:pgSz w:w="11907" w:h="16840"/>
      <w:pgMar w:top="1304" w:right="1797" w:bottom="567" w:left="1797" w:header="720" w:footer="720" w:gutter="0"/>
      <w:cols w:space="425" w:num="1"/>
      <w:titlePg/>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sz w:val="18"/>
      </w:rPr>
      <w:t xml:space="preserve">— </w:t>
    </w:r>
    <w:r>
      <w:rPr>
        <w:sz w:val="18"/>
      </w:rPr>
      <w:fldChar w:fldCharType="begin"/>
    </w:r>
    <w:r>
      <w:instrText xml:space="preserve"> PAGE </w:instrText>
    </w:r>
    <w:r>
      <w:fldChar w:fldCharType="end"/>
    </w:r>
    <w:r>
      <w:rPr>
        <w:rFonts w:ascii="Times New Roman" w:hAnsi="Times New Roman"/>
        <w:sz w:val="18"/>
      </w:rPr>
      <w:t xml:space="preserve">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97"/>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7E502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alloon Text"/>
    <w:basedOn w:val="1"/>
    <w:semiHidden/>
    <w:qFormat/>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qFormat/>
    <w:uiPriority w:val="0"/>
    <w:rPr>
      <w:kern w:val="2"/>
      <w:sz w:val="18"/>
      <w:szCs w:val="18"/>
    </w:rPr>
  </w:style>
  <w:style w:type="character" w:customStyle="1" w:styleId="8">
    <w:name w:val="页脚 Char"/>
    <w:link w:val="3"/>
    <w:qFormat/>
    <w:uiPriority w:val="0"/>
    <w:rPr>
      <w:kern w:val="2"/>
      <w:sz w:val="18"/>
      <w:szCs w:val="18"/>
    </w:rPr>
  </w:style>
  <w:style w:type="paragraph" w:customStyle="1" w:styleId="9">
    <w:name w:val="条"/>
    <w:basedOn w:val="1"/>
    <w:qFormat/>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qFormat/>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qFormat/>
    <w:uiPriority w:val="99"/>
    <w:rPr>
      <w:rFonts w:ascii="Times New Roman" w:hAnsi="Times New Roman" w:eastAsia="宋体" w:cs="Times New Roman"/>
      <w:kern w:val="2"/>
      <w:sz w:val="24"/>
      <w:lang w:val="en-US" w:eastAsia="zh-CN" w:bidi="ar-SA"/>
    </w:rPr>
  </w:style>
  <w:style w:type="paragraph" w:customStyle="1" w:styleId="PX4节标题">
    <w:name w:val="PX4节标题"/>
    <w:basedOn w:val="1"/>
    <w:pPr>
      <w:keepNext/>
      <w:spacing w:line="336" w:lineRule="auto" w:before="160" w:after="120"/>
    </w:pPr>
    <w:rPr>
      <w:rFonts w:ascii="黑体" w:hAnsi="黑体" w:eastAsia="黑体"/>
      <w:b/>
      <w:sz w:val="28"/>
    </w:rPr>
  </w:style>
  <w:style w:type="paragraph" w:customStyle="1" w:styleId="PX4二级标题">
    <w:name w:val="PX4二级标题"/>
    <w:basedOn w:val="1"/>
    <w:pPr>
      <w:keepNext/>
      <w:spacing w:line="348" w:lineRule="auto" w:before="140" w:after="80"/>
    </w:pPr>
    <w:rPr>
      <w:rFonts w:ascii="黑体" w:hAnsi="黑体" w:eastAsia="黑体"/>
      <w:b/>
      <w:sz w:val="24"/>
    </w:rPr>
  </w:style>
  <w:style w:type="paragraph" w:customStyle="1" w:styleId="PX4三级标题">
    <w:name w:val="PX4三级标题"/>
    <w:basedOn w:val="1"/>
    <w:pPr>
      <w:keepNext/>
      <w:spacing w:line="336" w:lineRule="auto" w:before="160" w:after="60"/>
    </w:pPr>
    <w:rPr>
      <w:rFonts w:ascii="黑体" w:hAnsi="黑体" w:eastAsia="黑体"/>
      <w:b/>
      <w:sz w:val="24"/>
    </w:rPr>
  </w:style>
  <w:style w:type="paragraph" w:customStyle="1" w:styleId="PX4正文">
    <w:name w:val="PX4正文"/>
    <w:basedOn w:val="1"/>
    <w:pPr>
      <w:keepNext w:val="0"/>
      <w:spacing w:line="360" w:lineRule="auto" w:before="0" w:after="0"/>
      <w:ind w:firstLine="480"/>
    </w:pPr>
    <w:rPr>
      <w:rFonts w:ascii="Times New Roman" w:hAnsi="Times New Roman" w:eastAsia="宋体"/>
      <w:b w:val="0"/>
      <w:sz w:val="24"/>
    </w:rPr>
  </w:style>
  <w:style w:type="paragraph" w:customStyle="1" w:styleId="PX4公式">
    <w:name w:val="PX4公式"/>
    <w:basedOn w:val="1"/>
    <w:pPr>
      <w:keepNext w:val="0"/>
      <w:spacing w:line="288" w:lineRule="auto" w:before="100" w:after="120"/>
    </w:pPr>
    <w:rPr>
      <w:rFonts w:ascii="Times New Roman" w:hAnsi="Times New Roman" w:eastAsia="Times New Roman"/>
      <w:b w:val="0"/>
      <w:sz w:val="24"/>
    </w:rPr>
  </w:style>
  <w:style w:type="paragraph" w:customStyle="1" w:styleId="PX4参考文献">
    <w:name w:val="PX4参考文献"/>
    <w:basedOn w:val="1"/>
    <w:pPr>
      <w:keepNext w:val="0"/>
      <w:spacing w:line="300" w:lineRule="auto" w:before="0" w:after="60"/>
    </w:pPr>
    <w:rPr>
      <w:rFonts w:ascii="Times New Roman" w:hAnsi="Times New Roman" w:eastAsia="宋体"/>
      <w:b w:val="0"/>
      <w:sz w:val="21"/>
    </w:rPr>
  </w:style>
  <w:style w:type="paragraph" w:customStyle="1" w:styleId="PX4占位">
    <w:name w:val="PX4占位"/>
    <w:basedOn w:val="1"/>
    <w:pPr>
      <w:keepNext w:val="0"/>
      <w:spacing w:line="324" w:lineRule="auto" w:before="0" w:after="120"/>
      <w:ind w:firstLine="480"/>
    </w:pPr>
    <w:rPr>
      <w:rFonts w:ascii="Times New Roman" w:hAnsi="Times New Roman" w:eastAsia="宋体"/>
      <w:b w:val="0"/>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11</Pages>
  <Words>6209</Words>
  <Characters>10865</Characters>
  <Lines>82</Lines>
  <Paragraphs>45</Paragraphs>
  <TotalTime>29</TotalTime>
  <ScaleCrop>false</ScaleCrop>
  <LinksUpToDate>false</LinksUpToDate>
  <CharactersWithSpaces>11769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2026-10-10T16:13:08Z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974D0B8056AD4BE78BEEB6D17871E013_12</vt:lpwstr>
  </property>
</Properties>
</file>