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BBF4C">
      <w:pPr>
        <w:ind w:firstLine="480"/>
        <w:rPr>
          <w:rFonts w:hint="eastAsia"/>
        </w:rPr>
      </w:pPr>
      <w:r>
        <w:rPr>
          <w:rFonts w:hint="eastAsia"/>
        </w:rPr>
        <w:t xml:space="preserve"> </w:t>
      </w:r>
    </w:p>
    <w:p w14:paraId="13A69A28">
      <w:pPr>
        <w:ind w:firstLine="480"/>
        <w:rPr>
          <w:rFonts w:hint="eastAsia"/>
        </w:rPr>
      </w:pPr>
    </w:p>
    <w:p w14:paraId="7974B84F">
      <w:pPr>
        <w:ind w:firstLine="480"/>
      </w:pPr>
    </w:p>
    <w:p w14:paraId="0DCFAF5B">
      <w:pPr>
        <w:ind w:firstLine="480"/>
        <w:rPr>
          <w:rFonts w:hint="eastAsia"/>
        </w:rPr>
      </w:pPr>
      <w:r>
        <w:pict>
          <v:shape id="_x0000_s2050" o:spid="_x0000_s2050" o:spt="75" type="#_x0000_t75" style="position:absolute;left:0pt;margin-left:105pt;margin-top:21pt;height:49.2pt;width:200pt;mso-wrap-distance-bottom:0pt;mso-wrap-distance-top:0pt;z-index:251659264;mso-width-relative:page;mso-height-relative:page;" filled="f" o:preferrelative="t" stroked="f" coordsize="21600,21600">
            <v:path/>
            <v:fill on="f" focussize="0,0"/>
            <v:stroke on="f" joinstyle="miter"/>
            <v:imagedata r:id="rId4" o:title="同济大学字"/>
            <o:lock v:ext="edit" aspectratio="t"/>
            <w10:wrap type="topAndBottom"/>
          </v:shape>
        </w:pict>
      </w:r>
    </w:p>
    <w:p w14:paraId="7386E4E3">
      <w:pPr>
        <w:ind w:firstLine="480"/>
        <w:rPr>
          <w:rFonts w:hint="eastAsia"/>
        </w:rPr>
      </w:pPr>
    </w:p>
    <w:p w14:paraId="1907C676">
      <w:pPr>
        <w:spacing w:line="240" w:lineRule="auto"/>
        <w:rPr>
          <w:rFonts w:hint="eastAsia" w:ascii="黑体" w:eastAsia="黑体"/>
          <w:sz w:val="72"/>
        </w:rPr>
      </w:pPr>
      <w:r>
        <w:rPr>
          <w:rFonts w:ascii="黑体" w:eastAsia="黑体"/>
          <w:sz w:val="48"/>
        </w:rPr>
        <w:t xml:space="preserve"> </w:t>
      </w:r>
      <w:r>
        <w:rPr>
          <w:rFonts w:hint="eastAsia" w:ascii="黑体" w:eastAsia="黑体"/>
          <w:sz w:val="72"/>
        </w:rPr>
        <w:t>毕业设计</w:t>
      </w:r>
      <w:r>
        <w:rPr>
          <w:rFonts w:hint="eastAsia" w:ascii="宋体" w:hAnsi="宋体"/>
          <w:sz w:val="72"/>
        </w:rPr>
        <w:t>(</w:t>
      </w:r>
      <w:r>
        <w:rPr>
          <w:rFonts w:hint="eastAsia" w:ascii="黑体" w:eastAsia="黑体"/>
          <w:sz w:val="72"/>
        </w:rPr>
        <w:t>论文</w:t>
      </w:r>
      <w:r>
        <w:rPr>
          <w:rFonts w:hint="eastAsia" w:ascii="宋体" w:hAnsi="宋体"/>
          <w:sz w:val="72"/>
        </w:rPr>
        <w:t>)</w:t>
      </w:r>
      <w:r>
        <w:rPr>
          <w:rFonts w:hint="eastAsia" w:ascii="黑体" w:eastAsia="黑体"/>
          <w:sz w:val="72"/>
        </w:rPr>
        <w:t>开题报告</w:t>
      </w:r>
    </w:p>
    <w:p w14:paraId="5A556938">
      <w:pPr>
        <w:ind w:firstLine="480"/>
        <w:rPr>
          <w:rFonts w:hint="eastAsia" w:ascii="黑体" w:eastAsia="黑体"/>
          <w:szCs w:val="21"/>
        </w:rPr>
      </w:pPr>
    </w:p>
    <w:p w14:paraId="19B266B5">
      <w:pPr>
        <w:ind w:firstLine="640"/>
        <w:rPr>
          <w:rFonts w:ascii="黑体" w:eastAsia="黑体"/>
          <w:sz w:val="32"/>
          <w:szCs w:val="32"/>
        </w:rPr>
      </w:pPr>
    </w:p>
    <w:p w14:paraId="6C1AEDAA">
      <w:pPr>
        <w:ind w:firstLine="640"/>
        <w:rPr>
          <w:rFonts w:hint="eastAsia"/>
          <w:sz w:val="32"/>
        </w:rPr>
      </w:pPr>
    </w:p>
    <w:p w14:paraId="601C90A3">
      <w:pPr>
        <w:ind w:firstLine="640"/>
        <w:rPr>
          <w:rFonts w:hint="eastAsia"/>
          <w:sz w:val="32"/>
        </w:rPr>
      </w:pPr>
    </w:p>
    <w:tbl>
      <w:tblPr>
        <w:tblStyle w:val="5"/>
        <w:tblW w:w="7470" w:type="dxa"/>
        <w:jc w:val="center"/>
        <w:tblLayout w:type="fixed"/>
        <w:tblCellMar>
          <w:top w:w="0" w:type="dxa"/>
          <w:left w:w="108" w:type="dxa"/>
          <w:bottom w:w="0" w:type="dxa"/>
          <w:right w:w="108" w:type="dxa"/>
        </w:tblCellMar>
      </w:tblPr>
      <w:tblGrid>
        <w:gridCol w:w="1863"/>
        <w:gridCol w:w="1642"/>
        <w:gridCol w:w="1298"/>
        <w:gridCol w:w="2667"/>
      </w:tblGrid>
      <w:tr w14:paraId="4C10941E">
        <w:tblPrEx>
          <w:tblCellMar>
            <w:top w:w="0" w:type="dxa"/>
            <w:left w:w="108" w:type="dxa"/>
            <w:bottom w:w="0" w:type="dxa"/>
            <w:right w:w="108" w:type="dxa"/>
          </w:tblCellMar>
        </w:tblPrEx>
        <w:trPr>
          <w:trHeight w:val="848" w:hRule="atLeast"/>
          <w:jc w:val="center"/>
        </w:trPr>
        <w:tc>
          <w:tcPr>
            <w:tcW w:w="1863" w:type="dxa"/>
            <w:vAlign w:val="bottom"/>
          </w:tcPr>
          <w:p w14:paraId="42E59D0C">
            <w:pPr>
              <w:snapToGrid w:val="0"/>
              <w:rPr>
                <w:rFonts w:ascii="宋体" w:hAnsi="宋体"/>
                <w:sz w:val="28"/>
                <w:szCs w:val="28"/>
              </w:rPr>
            </w:pPr>
            <w:permStart w:id="0" w:edGrp="everyone" w:colFirst="1" w:colLast="1"/>
            <w:r>
              <w:rPr>
                <w:rFonts w:ascii="宋体" w:hAnsi="宋体"/>
                <w:sz w:val="28"/>
                <w:szCs w:val="28"/>
              </w:rPr>
              <w:t>课题名称</w:t>
            </w:r>
          </w:p>
        </w:tc>
        <w:tc>
          <w:tcPr>
            <w:tcW w:w="5607" w:type="dxa"/>
            <w:gridSpan w:val="3"/>
            <w:tcBorders>
              <w:bottom w:val="single" w:color="auto" w:sz="4" w:space="0"/>
            </w:tcBorders>
            <w:vAlign w:val="bottom"/>
          </w:tcPr>
          <w:p w14:paraId="7DC6BB69">
            <w:pPr>
              <w:spacing w:before="0" w:after="0" w:line="240" w:lineRule="auto"/>
              <w:jc w:val="center"/>
              <w:rPr>
                <w:rFonts w:ascii="宋体" w:hAnsi="宋体"/>
                <w:sz w:val="28"/>
                <w:szCs w:val="28"/>
              </w:rPr>
            </w:pPr>
            <w:r>
              <w:rPr>
                <w:rFonts w:ascii="Times New Roman" w:hAnsi="Times New Roman" w:eastAsia="宋体" w:cs="Times New Roman"/>
                <w:b w:val="0"/>
                <w:sz w:val="28"/>
              </w:rPr>
              <w:t>基于PX4的水下航行器模型控制方法研究</w:t>
            </w:r>
          </w:p>
        </w:tc>
      </w:tr>
      <w:permEnd w:id="0"/>
      <w:tr w14:paraId="2E96675F">
        <w:tblPrEx>
          <w:tblCellMar>
            <w:top w:w="0" w:type="dxa"/>
            <w:left w:w="108" w:type="dxa"/>
            <w:bottom w:w="0" w:type="dxa"/>
            <w:right w:w="108" w:type="dxa"/>
          </w:tblCellMar>
        </w:tblPrEx>
        <w:trPr>
          <w:trHeight w:val="848" w:hRule="atLeast"/>
          <w:jc w:val="center"/>
        </w:trPr>
        <w:tc>
          <w:tcPr>
            <w:tcW w:w="1863" w:type="dxa"/>
            <w:vAlign w:val="bottom"/>
          </w:tcPr>
          <w:p w14:paraId="330F2F2C">
            <w:pPr>
              <w:rPr>
                <w:rFonts w:ascii="宋体" w:hAnsi="宋体"/>
                <w:sz w:val="28"/>
                <w:szCs w:val="28"/>
              </w:rPr>
            </w:pPr>
            <w:permStart w:id="1" w:edGrp="everyone" w:colFirst="1" w:colLast="1"/>
            <w:r>
              <w:rPr>
                <w:rFonts w:ascii="宋体" w:hAnsi="宋体"/>
                <w:spacing w:val="-18"/>
                <w:sz w:val="28"/>
                <w:szCs w:val="28"/>
              </w:rPr>
              <w:t>副 标 题</w:t>
            </w:r>
          </w:p>
        </w:tc>
        <w:tc>
          <w:tcPr>
            <w:tcW w:w="5607" w:type="dxa"/>
            <w:gridSpan w:val="3"/>
            <w:tcBorders>
              <w:top w:val="single" w:color="auto" w:sz="4" w:space="0"/>
              <w:bottom w:val="single" w:color="auto" w:sz="4" w:space="0"/>
            </w:tcBorders>
            <w:vAlign w:val="bottom"/>
          </w:tcPr>
          <w:p w14:paraId="68917084">
            <w:pPr>
              <w:rPr>
                <w:rFonts w:ascii="宋体" w:hAnsi="宋体"/>
                <w:sz w:val="28"/>
                <w:szCs w:val="28"/>
              </w:rPr>
            </w:pPr>
          </w:p>
        </w:tc>
      </w:tr>
      <w:permEnd w:id="1"/>
      <w:tr w14:paraId="532EA6F6">
        <w:tblPrEx>
          <w:tblCellMar>
            <w:top w:w="0" w:type="dxa"/>
            <w:left w:w="108" w:type="dxa"/>
            <w:bottom w:w="0" w:type="dxa"/>
            <w:right w:w="108" w:type="dxa"/>
          </w:tblCellMar>
        </w:tblPrEx>
        <w:trPr>
          <w:trHeight w:val="848" w:hRule="atLeast"/>
          <w:jc w:val="center"/>
        </w:trPr>
        <w:tc>
          <w:tcPr>
            <w:tcW w:w="1863" w:type="dxa"/>
            <w:vAlign w:val="bottom"/>
          </w:tcPr>
          <w:p w14:paraId="5B08852C">
            <w:pPr>
              <w:rPr>
                <w:rFonts w:ascii="宋体" w:hAnsi="宋体"/>
                <w:sz w:val="28"/>
                <w:szCs w:val="28"/>
              </w:rPr>
            </w:pPr>
            <w:permStart w:id="2" w:edGrp="everyone" w:colFirst="1" w:colLast="1"/>
            <w:r>
              <w:rPr>
                <w:rFonts w:ascii="宋体" w:hAnsi="宋体"/>
                <w:sz w:val="28"/>
                <w:szCs w:val="28"/>
              </w:rPr>
              <w:t>学</w:t>
            </w:r>
            <w:r>
              <w:rPr>
                <w:rFonts w:hint="eastAsia" w:ascii="宋体" w:hAnsi="宋体"/>
                <w:sz w:val="28"/>
                <w:szCs w:val="28"/>
              </w:rPr>
              <w:t xml:space="preserve">    </w:t>
            </w:r>
            <w:r>
              <w:rPr>
                <w:rFonts w:ascii="宋体" w:hAnsi="宋体"/>
                <w:sz w:val="28"/>
                <w:szCs w:val="28"/>
              </w:rPr>
              <w:t>院</w:t>
            </w:r>
            <w:r>
              <w:rPr>
                <w:rFonts w:hint="eastAsia" w:ascii="宋体" w:hAnsi="宋体"/>
                <w:sz w:val="28"/>
                <w:szCs w:val="28"/>
              </w:rPr>
              <w:t xml:space="preserve"> </w:t>
            </w:r>
          </w:p>
        </w:tc>
        <w:tc>
          <w:tcPr>
            <w:tcW w:w="5607" w:type="dxa"/>
            <w:gridSpan w:val="3"/>
            <w:tcBorders>
              <w:top w:val="single" w:color="auto" w:sz="4" w:space="0"/>
              <w:bottom w:val="single" w:color="auto" w:sz="4" w:space="0"/>
            </w:tcBorders>
            <w:vAlign w:val="bottom"/>
          </w:tcPr>
          <w:p w14:paraId="70E9C4C5">
            <w:pPr>
              <w:spacing w:before="0" w:after="0" w:line="240" w:lineRule="auto"/>
              <w:jc w:val="center"/>
              <w:rPr>
                <w:rFonts w:ascii="宋体" w:hAnsi="宋体"/>
                <w:sz w:val="28"/>
                <w:szCs w:val="28"/>
              </w:rPr>
            </w:pPr>
            <w:r>
              <w:rPr>
                <w:rFonts w:ascii="Times New Roman" w:hAnsi="Times New Roman" w:eastAsia="宋体" w:cs="Times New Roman"/>
                <w:b w:val="0"/>
                <w:sz w:val="28"/>
              </w:rPr>
              <w:t>机械工程与机器人学院</w:t>
            </w:r>
          </w:p>
        </w:tc>
      </w:tr>
      <w:permEnd w:id="2"/>
      <w:tr w14:paraId="14C5218E">
        <w:tblPrEx>
          <w:tblCellMar>
            <w:top w:w="0" w:type="dxa"/>
            <w:left w:w="108" w:type="dxa"/>
            <w:bottom w:w="0" w:type="dxa"/>
            <w:right w:w="108" w:type="dxa"/>
          </w:tblCellMar>
        </w:tblPrEx>
        <w:trPr>
          <w:trHeight w:val="848" w:hRule="atLeast"/>
          <w:jc w:val="center"/>
        </w:trPr>
        <w:tc>
          <w:tcPr>
            <w:tcW w:w="1863" w:type="dxa"/>
            <w:vAlign w:val="bottom"/>
          </w:tcPr>
          <w:p w14:paraId="3FC80CB3">
            <w:pPr>
              <w:rPr>
                <w:rFonts w:ascii="宋体" w:hAnsi="宋体"/>
                <w:sz w:val="28"/>
                <w:szCs w:val="28"/>
              </w:rPr>
            </w:pPr>
            <w:permStart w:id="3" w:edGrp="everyone" w:colFirst="1" w:colLast="1"/>
            <w:r>
              <w:rPr>
                <w:rFonts w:ascii="宋体" w:hAnsi="宋体"/>
                <w:sz w:val="28"/>
                <w:szCs w:val="28"/>
              </w:rPr>
              <w:t>专    业</w:t>
            </w:r>
          </w:p>
        </w:tc>
        <w:tc>
          <w:tcPr>
            <w:tcW w:w="5607" w:type="dxa"/>
            <w:gridSpan w:val="3"/>
            <w:tcBorders>
              <w:top w:val="single" w:color="auto" w:sz="4" w:space="0"/>
              <w:bottom w:val="single" w:color="auto" w:sz="4" w:space="0"/>
            </w:tcBorders>
            <w:vAlign w:val="bottom"/>
          </w:tcPr>
          <w:p w14:paraId="789C06FD">
            <w:pPr>
              <w:spacing w:before="0" w:after="0" w:line="240" w:lineRule="auto"/>
              <w:jc w:val="center"/>
              <w:rPr>
                <w:rFonts w:ascii="宋体" w:hAnsi="宋体"/>
                <w:sz w:val="28"/>
                <w:szCs w:val="28"/>
              </w:rPr>
            </w:pPr>
            <w:r>
              <w:rPr>
                <w:rFonts w:ascii="Times New Roman" w:hAnsi="Times New Roman" w:eastAsia="宋体" w:cs="Times New Roman"/>
                <w:b w:val="0"/>
                <w:sz w:val="28"/>
              </w:rPr>
              <w:t>机械设计制造及其自动化</w:t>
            </w:r>
          </w:p>
        </w:tc>
      </w:tr>
      <w:permEnd w:id="3"/>
      <w:tr w14:paraId="3F37394E">
        <w:tblPrEx>
          <w:tblCellMar>
            <w:top w:w="0" w:type="dxa"/>
            <w:left w:w="108" w:type="dxa"/>
            <w:bottom w:w="0" w:type="dxa"/>
            <w:right w:w="108" w:type="dxa"/>
          </w:tblCellMar>
        </w:tblPrEx>
        <w:trPr>
          <w:trHeight w:val="848" w:hRule="atLeast"/>
          <w:jc w:val="center"/>
        </w:trPr>
        <w:tc>
          <w:tcPr>
            <w:tcW w:w="1863" w:type="dxa"/>
            <w:vAlign w:val="bottom"/>
          </w:tcPr>
          <w:p w14:paraId="69A511FC">
            <w:pPr>
              <w:rPr>
                <w:rFonts w:ascii="宋体" w:hAnsi="宋体"/>
                <w:sz w:val="28"/>
                <w:szCs w:val="28"/>
              </w:rPr>
            </w:pPr>
            <w:permStart w:id="4" w:edGrp="everyone" w:colFirst="1" w:colLast="1"/>
            <w:permStart w:id="5" w:edGrp="everyone" w:colFirst="3" w:colLast="3"/>
            <w:r>
              <w:rPr>
                <w:rFonts w:ascii="宋体" w:hAnsi="宋体"/>
                <w:sz w:val="28"/>
                <w:szCs w:val="28"/>
              </w:rPr>
              <w:t>学生姓名</w:t>
            </w:r>
          </w:p>
        </w:tc>
        <w:tc>
          <w:tcPr>
            <w:tcW w:w="1642" w:type="dxa"/>
            <w:tcBorders>
              <w:bottom w:val="single" w:color="auto" w:sz="4" w:space="0"/>
            </w:tcBorders>
            <w:vAlign w:val="bottom"/>
          </w:tcPr>
          <w:p w14:paraId="7CAFE2BC">
            <w:pPr>
              <w:spacing w:before="0" w:after="0" w:line="240" w:lineRule="auto"/>
              <w:jc w:val="center"/>
              <w:rPr>
                <w:rFonts w:ascii="宋体" w:hAnsi="宋体"/>
                <w:sz w:val="28"/>
                <w:szCs w:val="28"/>
              </w:rPr>
            </w:pPr>
            <w:r>
              <w:rPr>
                <w:rFonts w:ascii="Times New Roman" w:hAnsi="Times New Roman" w:eastAsia="宋体" w:cs="Times New Roman"/>
                <w:b w:val="0"/>
                <w:sz w:val="28"/>
              </w:rPr>
              <w:t>张卫恒</w:t>
            </w:r>
          </w:p>
        </w:tc>
        <w:tc>
          <w:tcPr>
            <w:tcW w:w="1298" w:type="dxa"/>
            <w:vAlign w:val="bottom"/>
          </w:tcPr>
          <w:p w14:paraId="029A3F9C">
            <w:pPr>
              <w:rPr>
                <w:rFonts w:ascii="宋体" w:hAnsi="宋体"/>
                <w:sz w:val="28"/>
                <w:szCs w:val="28"/>
              </w:rPr>
            </w:pPr>
            <w:r>
              <w:rPr>
                <w:rFonts w:ascii="宋体" w:hAnsi="宋体"/>
                <w:sz w:val="28"/>
                <w:szCs w:val="28"/>
              </w:rPr>
              <w:t>学 号</w:t>
            </w:r>
          </w:p>
        </w:tc>
        <w:tc>
          <w:tcPr>
            <w:tcW w:w="2667" w:type="dxa"/>
            <w:tcBorders>
              <w:bottom w:val="single" w:color="auto" w:sz="4" w:space="0"/>
            </w:tcBorders>
            <w:vAlign w:val="bottom"/>
          </w:tcPr>
          <w:p w14:paraId="7286FA24">
            <w:pPr>
              <w:spacing w:before="0" w:after="0" w:line="240" w:lineRule="auto"/>
              <w:jc w:val="center"/>
              <w:rPr>
                <w:rFonts w:ascii="宋体" w:hAnsi="宋体"/>
                <w:sz w:val="28"/>
                <w:szCs w:val="28"/>
              </w:rPr>
            </w:pPr>
            <w:r>
              <w:rPr>
                <w:rFonts w:ascii="Times New Roman" w:hAnsi="Times New Roman" w:eastAsia="宋体" w:cs="Times New Roman"/>
                <w:b w:val="0"/>
                <w:sz w:val="28"/>
              </w:rPr>
              <w:t>2352407</w:t>
            </w:r>
          </w:p>
        </w:tc>
      </w:tr>
      <w:permEnd w:id="4"/>
      <w:permEnd w:id="5"/>
      <w:tr w14:paraId="055FFB75">
        <w:tblPrEx>
          <w:tblCellMar>
            <w:top w:w="0" w:type="dxa"/>
            <w:left w:w="108" w:type="dxa"/>
            <w:bottom w:w="0" w:type="dxa"/>
            <w:right w:w="108" w:type="dxa"/>
          </w:tblCellMar>
        </w:tblPrEx>
        <w:trPr>
          <w:trHeight w:val="848" w:hRule="atLeast"/>
          <w:jc w:val="center"/>
        </w:trPr>
        <w:tc>
          <w:tcPr>
            <w:tcW w:w="1863" w:type="dxa"/>
            <w:vAlign w:val="bottom"/>
          </w:tcPr>
          <w:p w14:paraId="449E4A6A">
            <w:pPr>
              <w:ind w:firstLine="560"/>
              <w:rPr>
                <w:sz w:val="28"/>
                <w:szCs w:val="28"/>
              </w:rPr>
            </w:pPr>
          </w:p>
          <w:p w14:paraId="07999FA0">
            <w:pPr>
              <w:ind w:firstLine="560"/>
              <w:rPr>
                <w:sz w:val="28"/>
                <w:szCs w:val="28"/>
              </w:rPr>
            </w:pPr>
          </w:p>
          <w:p w14:paraId="2B8D6BCF">
            <w:pPr>
              <w:ind w:firstLine="560"/>
              <w:rPr>
                <w:sz w:val="28"/>
                <w:szCs w:val="28"/>
              </w:rPr>
            </w:pPr>
          </w:p>
          <w:p w14:paraId="6B6D9DE4">
            <w:pPr>
              <w:ind w:firstLine="560"/>
              <w:rPr>
                <w:sz w:val="28"/>
                <w:szCs w:val="28"/>
              </w:rPr>
            </w:pPr>
          </w:p>
        </w:tc>
        <w:tc>
          <w:tcPr>
            <w:tcW w:w="1642" w:type="dxa"/>
            <w:tcBorders>
              <w:top w:val="single" w:color="auto" w:sz="4" w:space="0"/>
            </w:tcBorders>
            <w:vAlign w:val="bottom"/>
          </w:tcPr>
          <w:p w14:paraId="674F2EC9">
            <w:pPr>
              <w:ind w:firstLine="560"/>
              <w:jc w:val="center"/>
              <w:rPr>
                <w:sz w:val="28"/>
                <w:szCs w:val="28"/>
              </w:rPr>
            </w:pPr>
          </w:p>
        </w:tc>
        <w:tc>
          <w:tcPr>
            <w:tcW w:w="1298" w:type="dxa"/>
            <w:vAlign w:val="bottom"/>
          </w:tcPr>
          <w:p w14:paraId="63C2B1B4">
            <w:pPr>
              <w:ind w:firstLine="560"/>
              <w:jc w:val="center"/>
              <w:rPr>
                <w:sz w:val="28"/>
                <w:szCs w:val="28"/>
              </w:rPr>
            </w:pPr>
          </w:p>
        </w:tc>
        <w:tc>
          <w:tcPr>
            <w:tcW w:w="2667" w:type="dxa"/>
            <w:vAlign w:val="bottom"/>
          </w:tcPr>
          <w:p w14:paraId="3F283AAE">
            <w:pPr>
              <w:ind w:firstLine="560"/>
              <w:jc w:val="center"/>
              <w:rPr>
                <w:sz w:val="28"/>
                <w:szCs w:val="28"/>
              </w:rPr>
            </w:pPr>
          </w:p>
        </w:tc>
      </w:tr>
    </w:tbl>
    <w:p w14:paraId="4E3E6D9A">
      <w:pPr>
        <w:ind w:firstLine="600"/>
        <w:rPr>
          <w:rFonts w:hint="eastAsia" w:ascii="黑体" w:eastAsia="黑体"/>
          <w:sz w:val="30"/>
        </w:rPr>
      </w:pPr>
    </w:p>
    <w:p w14:paraId="4BFF8C54">
      <w:pPr>
        <w:ind w:firstLine="600"/>
        <w:rPr>
          <w:rFonts w:hint="eastAsia" w:ascii="黑体" w:eastAsia="黑体"/>
          <w:sz w:val="30"/>
        </w:rPr>
      </w:pPr>
    </w:p>
    <w:p w14:paraId="25B75520">
      <w:pPr>
        <w:ind w:firstLine="600"/>
        <w:rPr>
          <w:rFonts w:hint="eastAsia" w:ascii="黑体" w:eastAsia="黑体"/>
          <w:sz w:val="30"/>
        </w:rPr>
      </w:pPr>
    </w:p>
    <w:p w14:paraId="0549619A">
      <w:pPr>
        <w:ind w:firstLine="600"/>
        <w:rPr>
          <w:rFonts w:hint="eastAsia" w:ascii="黑体" w:eastAsia="黑体"/>
          <w:sz w:val="30"/>
        </w:rPr>
      </w:pPr>
    </w:p>
    <w:p w14:paraId="6B321487">
      <w:pPr>
        <w:ind w:firstLine="600"/>
        <w:rPr>
          <w:rFonts w:hint="eastAsia" w:ascii="黑体" w:eastAsia="黑体"/>
          <w:sz w:val="30"/>
        </w:rPr>
      </w:pPr>
    </w:p>
    <w:tbl>
      <w:tblPr>
        <w:tblStyle w:val="5"/>
        <w:tblW w:w="0" w:type="auto"/>
        <w:jc w:val="center"/>
        <w:tblLayout w:type="fixed"/>
        <w:tblCellMar>
          <w:top w:w="0" w:type="dxa"/>
          <w:left w:w="108" w:type="dxa"/>
          <w:bottom w:w="0" w:type="dxa"/>
          <w:right w:w="108" w:type="dxa"/>
        </w:tblCellMar>
      </w:tblPr>
      <w:tblGrid>
        <w:gridCol w:w="1126"/>
        <w:gridCol w:w="850"/>
        <w:gridCol w:w="727"/>
        <w:gridCol w:w="446"/>
        <w:gridCol w:w="629"/>
        <w:gridCol w:w="466"/>
      </w:tblGrid>
      <w:tr w14:paraId="612BED1A">
        <w:tblPrEx>
          <w:tblCellMar>
            <w:top w:w="0" w:type="dxa"/>
            <w:left w:w="108" w:type="dxa"/>
            <w:bottom w:w="0" w:type="dxa"/>
            <w:right w:w="108" w:type="dxa"/>
          </w:tblCellMar>
        </w:tblPrEx>
        <w:trPr>
          <w:trHeight w:val="439" w:hRule="atLeast"/>
          <w:jc w:val="center"/>
        </w:trPr>
        <w:tc>
          <w:tcPr>
            <w:tcW w:w="1126" w:type="dxa"/>
            <w:tcBorders>
              <w:bottom w:val="single" w:color="auto" w:sz="4" w:space="0"/>
            </w:tcBorders>
            <w:vAlign w:val="bottom"/>
          </w:tcPr>
          <w:p w14:paraId="7B4A7919">
            <w:pPr>
              <w:spacing w:before="0" w:after="0" w:line="240" w:lineRule="auto"/>
              <w:jc w:val="center"/>
              <w:rPr>
                <w:rFonts w:hint="eastAsia" w:ascii="宋体" w:hAnsi="宋体"/>
                <w:sz w:val="28"/>
                <w:szCs w:val="28"/>
              </w:rPr>
            </w:pPr>
            <w:permStart w:id="6" w:edGrp="everyone" w:colFirst="0" w:colLast="0"/>
            <w:permStart w:id="7" w:edGrp="everyone" w:colFirst="2" w:colLast="2"/>
            <w:permStart w:id="8" w:edGrp="everyone" w:colFirst="4" w:colLast="4"/>
            <w:r>
              <w:rPr>
                <w:rFonts w:ascii="Times New Roman" w:hAnsi="Times New Roman" w:eastAsia="宋体" w:cs="Times New Roman"/>
                <w:b w:val="0"/>
                <w:sz w:val="28"/>
              </w:rPr>
              <w:t>2026</w:t>
            </w:r>
          </w:p>
        </w:tc>
        <w:tc>
          <w:tcPr>
            <w:tcW w:w="850" w:type="dxa"/>
            <w:vAlign w:val="bottom"/>
          </w:tcPr>
          <w:p w14:paraId="7314B03C">
            <w:pPr>
              <w:jc w:val="center"/>
              <w:rPr>
                <w:rFonts w:hint="eastAsia" w:ascii="宋体" w:hAnsi="宋体"/>
                <w:sz w:val="28"/>
                <w:szCs w:val="28"/>
              </w:rPr>
            </w:pPr>
            <w:r>
              <w:rPr>
                <w:rFonts w:hint="eastAsia" w:ascii="宋体" w:hAnsi="宋体"/>
                <w:sz w:val="28"/>
                <w:szCs w:val="28"/>
              </w:rPr>
              <w:t>年</w:t>
            </w:r>
          </w:p>
        </w:tc>
        <w:tc>
          <w:tcPr>
            <w:tcW w:w="727" w:type="dxa"/>
            <w:tcBorders>
              <w:bottom w:val="single" w:color="auto" w:sz="4" w:space="0"/>
            </w:tcBorders>
            <w:vAlign w:val="bottom"/>
          </w:tcPr>
          <w:p w14:paraId="7BB9ED3F">
            <w:pPr>
              <w:spacing w:before="0" w:after="0" w:line="240" w:lineRule="auto"/>
              <w:jc w:val="center"/>
              <w:rPr>
                <w:rFonts w:hint="eastAsia" w:ascii="宋体" w:hAnsi="宋体"/>
                <w:sz w:val="28"/>
                <w:szCs w:val="28"/>
              </w:rPr>
            </w:pPr>
            <w:r>
              <w:rPr>
                <w:rFonts w:ascii="Times New Roman" w:hAnsi="Times New Roman" w:eastAsia="宋体" w:cs="Times New Roman"/>
                <w:b w:val="0"/>
                <w:sz w:val="28"/>
              </w:rPr>
              <w:t>10</w:t>
            </w:r>
          </w:p>
        </w:tc>
        <w:tc>
          <w:tcPr>
            <w:tcW w:w="446" w:type="dxa"/>
            <w:vAlign w:val="bottom"/>
          </w:tcPr>
          <w:p w14:paraId="26CF890B">
            <w:pPr>
              <w:jc w:val="center"/>
              <w:rPr>
                <w:rFonts w:hint="eastAsia" w:ascii="宋体" w:hAnsi="宋体"/>
                <w:sz w:val="28"/>
                <w:szCs w:val="28"/>
              </w:rPr>
            </w:pPr>
            <w:r>
              <w:rPr>
                <w:rFonts w:hint="eastAsia" w:ascii="宋体" w:hAnsi="宋体"/>
                <w:sz w:val="28"/>
                <w:szCs w:val="28"/>
              </w:rPr>
              <w:t>月</w:t>
            </w:r>
          </w:p>
        </w:tc>
        <w:tc>
          <w:tcPr>
            <w:tcW w:w="629" w:type="dxa"/>
            <w:tcBorders>
              <w:bottom w:val="single" w:color="auto" w:sz="4" w:space="0"/>
            </w:tcBorders>
            <w:vAlign w:val="bottom"/>
          </w:tcPr>
          <w:p w14:paraId="02C927EB">
            <w:pPr>
              <w:spacing w:before="0" w:after="0" w:line="240" w:lineRule="auto"/>
              <w:jc w:val="center"/>
              <w:rPr>
                <w:rFonts w:hint="eastAsia" w:ascii="宋体" w:hAnsi="宋体"/>
                <w:sz w:val="28"/>
                <w:szCs w:val="28"/>
              </w:rPr>
            </w:pPr>
            <w:r>
              <w:rPr>
                <w:rFonts w:ascii="Times New Roman" w:hAnsi="Times New Roman" w:eastAsia="宋体" w:cs="Times New Roman"/>
                <w:b w:val="0"/>
                <w:sz w:val="28"/>
              </w:rPr>
              <w:t>9</w:t>
            </w:r>
          </w:p>
        </w:tc>
        <w:tc>
          <w:tcPr>
            <w:tcW w:w="466" w:type="dxa"/>
            <w:vAlign w:val="bottom"/>
          </w:tcPr>
          <w:p w14:paraId="7A0D0955">
            <w:pPr>
              <w:jc w:val="center"/>
              <w:rPr>
                <w:rFonts w:hint="eastAsia" w:ascii="宋体" w:hAnsi="宋体"/>
                <w:sz w:val="28"/>
                <w:szCs w:val="28"/>
              </w:rPr>
            </w:pPr>
            <w:r>
              <w:rPr>
                <w:rFonts w:hint="eastAsia" w:ascii="宋体" w:hAnsi="宋体"/>
                <w:sz w:val="28"/>
                <w:szCs w:val="28"/>
              </w:rPr>
              <w:t>日</w:t>
            </w:r>
          </w:p>
        </w:tc>
      </w:tr>
      <w:permEnd w:id="6"/>
      <w:permEnd w:id="7"/>
      <w:permEnd w:id="8"/>
    </w:tbl>
    <w:p w14:paraId="6D33EC83">
      <w:pPr>
        <w:ind w:firstLine="560"/>
        <w:rPr>
          <w:rFonts w:hint="eastAsia" w:ascii="宋体" w:hAnsi="宋体"/>
          <w:sz w:val="28"/>
          <w:szCs w:val="28"/>
        </w:rPr>
      </w:pPr>
    </w:p>
    <w:p w14:paraId="7C055745">
      <w:pPr>
        <w:spacing w:before="120" w:beforeLines="50" w:after="120" w:afterLines="50" w:line="360" w:lineRule="auto"/>
        <w:ind w:firstLine="560" w:firstLineChars="0"/>
        <w:rPr>
          <w:rFonts w:hint="eastAsia" w:ascii="楷体" w:hAnsi="宋体" w:eastAsia="楷体"/>
        </w:rPr>
      </w:pPr>
      <w:r>
        <w:rPr>
          <w:rFonts w:ascii="Times New Roman" w:hAnsi="Times New Roman" w:eastAsia="黑体" w:cs="Times New Roman"/>
          <w:b w:val="0"/>
          <w:sz w:val="28"/>
          <w:szCs w:val="28"/>
        </w:rPr>
        <w:br w:type="page"/>
      </w:r>
      <w:r>
        <w:rPr>
          <w:rFonts w:hint="eastAsia" w:ascii="Times New Roman" w:hAnsi="Times New Roman" w:eastAsia="黑体" w:cs="Times New Roman"/>
          <w:b w:val="0"/>
          <w:sz w:val="28"/>
        </w:rPr>
        <w:t>一、</w:t>
      </w:r>
      <w:permStart w:id="9" w:edGrp="everyone"/>
      <w:r>
        <w:rPr>
          <w:rFonts w:hint="eastAsia" w:ascii="Times New Roman" w:hAnsi="Times New Roman" w:eastAsia="黑体" w:cs="Times New Roman"/>
          <w:b w:val="0"/>
          <w:sz w:val="28"/>
        </w:rPr>
        <w:t>毕业论文</w:t>
      </w:r>
      <w:permEnd w:id="9"/>
      <w:r>
        <w:rPr>
          <w:rFonts w:hint="eastAsia" w:ascii="Times New Roman" w:hAnsi="Times New Roman" w:eastAsia="黑体" w:cs="Times New Roman"/>
          <w:b w:val="0"/>
          <w:sz w:val="28"/>
        </w:rPr>
        <w:t>课题背景</w:t>
      </w:r>
    </w:p>
    <w:p w14:paraId="26F346DF">
      <w:pPr>
        <w:pStyle w:val="9"/>
        <w:spacing w:before="120" w:beforeLines="50" w:after="120" w:afterLines="50" w:line="360" w:lineRule="auto"/>
        <w:ind w:firstLine="0" w:firstLineChars="0"/>
        <w:rPr>
          <w:sz w:val="24"/>
        </w:rPr>
      </w:pPr>
      <w:permStart w:id="10" w:edGrp="everyone"/>
      <w:r>
        <w:rPr>
          <w:rFonts w:hint="eastAsia" w:ascii="Times New Roman" w:hAnsi="Times New Roman" w:eastAsia="黑体" w:cs="Times New Roman"/>
          <w:b w:val="0"/>
          <w:sz w:val="24"/>
        </w:rPr>
        <w:t>1</w:t>
      </w:r>
      <w:r>
        <w:rPr>
          <w:rFonts w:ascii="Times New Roman" w:hAnsi="Times New Roman" w:eastAsia="黑体" w:cs="Times New Roman"/>
          <w:b w:val="0"/>
          <w:sz w:val="24"/>
        </w:rPr>
        <w:t>． 课题来源及研究的目的和意义</w:t>
      </w:r>
    </w:p>
    <w:p w14:paraId="70C3D26E">
      <w:pPr>
        <w:pStyle w:val="10"/>
        <w:widowControl/>
        <w:spacing w:before="120" w:beforeLines="0" w:after="120" w:afterLines="0" w:line="360" w:lineRule="auto"/>
        <w:ind w:firstLine="482" w:firstLineChars="0"/>
      </w:pPr>
      <w:r>
        <w:rPr>
          <w:rFonts w:ascii="Times New Roman" w:hAnsi="Times New Roman" w:eastAsia="宋体" w:cs="Times New Roman"/>
          <w:b w:val="0"/>
          <w:strike w:val="0"/>
          <w:sz w:val="24"/>
        </w:rPr>
        <w:t>随着“海洋强国”战略的</w:t>
      </w:r>
      <w:r>
        <w:rPr>
          <w:rFonts w:ascii="Times New Roman" w:hAnsi="Times New Roman" w:eastAsia="宋体" w:cs="Times New Roman"/>
          <w:b w:val="0"/>
          <w:strike/>
          <w:sz w:val="24"/>
        </w:rPr>
        <w:t>深入推进以及国家对海洋经济和重大</w:t>
      </w:r>
      <w:r>
        <w:rPr>
          <w:rFonts w:ascii="Times New Roman" w:hAnsi="Times New Roman" w:eastAsia="宋体" w:cs="Times New Roman"/>
          <w:b w:val="0"/>
          <w:strike w:val="0"/>
          <w:sz w:val="24"/>
          <w:highlight w:val="yellow"/>
        </w:rPr>
        <w:t>推进，</w:t>
      </w:r>
      <w:r>
        <w:rPr>
          <w:rFonts w:ascii="Times New Roman" w:hAnsi="Times New Roman" w:eastAsia="宋体" w:cs="Times New Roman"/>
          <w:b w:val="0"/>
          <w:strike w:val="0"/>
          <w:sz w:val="24"/>
        </w:rPr>
        <w:t>水下基础设施</w:t>
      </w:r>
      <w:r>
        <w:rPr>
          <w:rFonts w:ascii="Times New Roman" w:hAnsi="Times New Roman" w:eastAsia="宋体" w:cs="Times New Roman"/>
          <w:b w:val="0"/>
          <w:strike/>
          <w:sz w:val="24"/>
        </w:rPr>
        <w:t>安全的战略部署，发展自主可控的高端海洋装备与水下智能机器人技术，已成为推动海洋工程高质量发展与培育新质生产力的关键支撑。我国政府高度重视机器人核心技术攻关与特种行业应用，国家发展和改革委员会、科学技术部、工业和信息化部等联合印发的</w:t>
      </w:r>
      <w:r>
        <w:rPr>
          <w:rFonts w:ascii="Times New Roman" w:hAnsi="Times New Roman" w:eastAsia="宋体" w:cs="Times New Roman"/>
          <w:b w:val="0"/>
          <w:strike w:val="0"/>
          <w:sz w:val="24"/>
          <w:highlight w:val="yellow"/>
        </w:rPr>
        <w:t>的安全运维对小型水下航行器提出了更高要求。</w:t>
      </w:r>
      <w:r>
        <w:rPr>
          <w:rFonts w:ascii="Times New Roman" w:hAnsi="Times New Roman" w:eastAsia="宋体" w:cs="Times New Roman"/>
          <w:b w:val="0"/>
          <w:strike w:val="0"/>
          <w:sz w:val="24"/>
        </w:rPr>
        <w:t>《“十四五”机器人产业发展规划》[1]</w:t>
      </w:r>
      <w:r>
        <w:rPr>
          <w:rFonts w:ascii="Times New Roman" w:hAnsi="Times New Roman" w:eastAsia="宋体" w:cs="Times New Roman"/>
          <w:b w:val="0"/>
          <w:strike/>
          <w:sz w:val="24"/>
        </w:rPr>
        <w:t>，明确将面向恶劣受限环境和水下作业等</w:t>
      </w:r>
      <w:r>
        <w:rPr>
          <w:rFonts w:ascii="Times New Roman" w:hAnsi="Times New Roman" w:eastAsia="宋体" w:cs="Times New Roman"/>
          <w:b w:val="0"/>
          <w:strike w:val="0"/>
          <w:sz w:val="24"/>
          <w:highlight w:val="yellow"/>
        </w:rPr>
        <w:t>将水下探测、监测和作业机器人纳入</w:t>
      </w:r>
      <w:r>
        <w:rPr>
          <w:rFonts w:ascii="Times New Roman" w:hAnsi="Times New Roman" w:eastAsia="宋体" w:cs="Times New Roman"/>
          <w:b w:val="0"/>
          <w:strike w:val="0"/>
          <w:sz w:val="24"/>
        </w:rPr>
        <w:t>特种机器人</w:t>
      </w:r>
      <w:r>
        <w:rPr>
          <w:rFonts w:ascii="Times New Roman" w:hAnsi="Times New Roman" w:eastAsia="宋体" w:cs="Times New Roman"/>
          <w:b w:val="0"/>
          <w:strike/>
          <w:sz w:val="24"/>
        </w:rPr>
        <w:t>列为重点突破方向，强调攻克复杂水下环境感知、高精度运动控制及自主作业等共性核心技术；工业和信息化部、教育部等十七部门联合印发的</w:t>
      </w:r>
      <w:r>
        <w:rPr>
          <w:rFonts w:ascii="Times New Roman" w:hAnsi="Times New Roman" w:eastAsia="宋体" w:cs="Times New Roman"/>
          <w:b w:val="0"/>
          <w:strike w:val="0"/>
          <w:sz w:val="24"/>
          <w:highlight w:val="yellow"/>
        </w:rPr>
        <w:t>重点发展方向；</w:t>
      </w:r>
      <w:r>
        <w:rPr>
          <w:rFonts w:ascii="Times New Roman" w:hAnsi="Times New Roman" w:eastAsia="宋体" w:cs="Times New Roman"/>
          <w:b w:val="0"/>
          <w:strike w:val="0"/>
          <w:sz w:val="24"/>
        </w:rPr>
        <w:t>《“机器人+”应用行动实施方案》[2]</w:t>
      </w:r>
      <w:r>
        <w:rPr>
          <w:rFonts w:ascii="Times New Roman" w:hAnsi="Times New Roman" w:eastAsia="宋体" w:cs="Times New Roman"/>
          <w:b w:val="0"/>
          <w:strike/>
          <w:sz w:val="24"/>
        </w:rPr>
        <w:t>，进一步强调深化</w:t>
      </w:r>
      <w:r>
        <w:rPr>
          <w:rFonts w:ascii="Times New Roman" w:hAnsi="Times New Roman" w:eastAsia="宋体" w:cs="Times New Roman"/>
          <w:b w:val="0"/>
          <w:strike w:val="0"/>
          <w:sz w:val="24"/>
          <w:highlight w:val="yellow"/>
        </w:rPr>
        <w:t>提出推动</w:t>
      </w:r>
      <w:r>
        <w:rPr>
          <w:rFonts w:ascii="Times New Roman" w:hAnsi="Times New Roman" w:eastAsia="宋体" w:cs="Times New Roman"/>
          <w:b w:val="0"/>
          <w:strike w:val="0"/>
          <w:sz w:val="24"/>
        </w:rPr>
        <w:t>机器人在</w:t>
      </w:r>
      <w:r>
        <w:rPr>
          <w:rFonts w:ascii="Times New Roman" w:hAnsi="Times New Roman" w:eastAsia="宋体" w:cs="Times New Roman"/>
          <w:b w:val="0"/>
          <w:strike w:val="0"/>
          <w:sz w:val="24"/>
          <w:highlight w:val="yellow"/>
        </w:rPr>
        <w:t>风电场、水电站、油气管网等</w:t>
      </w:r>
      <w:r>
        <w:rPr>
          <w:rFonts w:ascii="Times New Roman" w:hAnsi="Times New Roman" w:eastAsia="宋体" w:cs="Times New Roman"/>
          <w:b w:val="0"/>
          <w:strike w:val="0"/>
          <w:sz w:val="24"/>
        </w:rPr>
        <w:t>能源基础设施</w:t>
      </w:r>
      <w:r>
        <w:rPr>
          <w:rFonts w:ascii="Times New Roman" w:hAnsi="Times New Roman" w:eastAsia="宋体" w:cs="Times New Roman"/>
          <w:b w:val="0"/>
          <w:strike/>
          <w:sz w:val="24"/>
        </w:rPr>
        <w:t>、水利水电及安全应急等重点领域的规模化应用，推动水下智能巡检机器人等先进装备在深水工程和高危受限环境中的落地。在这一宏观背景下，</w:t>
      </w:r>
      <w:r>
        <w:rPr>
          <w:rFonts w:ascii="Times New Roman" w:hAnsi="Times New Roman" w:eastAsia="宋体" w:cs="Times New Roman"/>
          <w:b w:val="0"/>
          <w:strike w:val="0"/>
          <w:sz w:val="24"/>
          <w:highlight w:val="yellow"/>
        </w:rPr>
        <w:t>的巡检与维护场景中应用。</w:t>
      </w:r>
      <w:r>
        <w:rPr>
          <w:rFonts w:ascii="Times New Roman" w:hAnsi="Times New Roman" w:eastAsia="宋体" w:cs="Times New Roman"/>
          <w:b w:val="0"/>
          <w:strike w:val="0"/>
          <w:sz w:val="24"/>
        </w:rPr>
        <w:t>海上风电桩基、水下大坝立面及海底能源管线等</w:t>
      </w:r>
      <w:r>
        <w:rPr>
          <w:rFonts w:ascii="Times New Roman" w:hAnsi="Times New Roman" w:eastAsia="宋体" w:cs="Times New Roman"/>
          <w:b w:val="0"/>
          <w:strike/>
          <w:sz w:val="24"/>
        </w:rPr>
        <w:t>水下关键基础设施的大规模建设与</w:t>
      </w:r>
      <w:r>
        <w:rPr>
          <w:rFonts w:ascii="Times New Roman" w:hAnsi="Times New Roman" w:eastAsia="宋体" w:cs="Times New Roman"/>
          <w:b w:val="0"/>
          <w:strike w:val="0"/>
          <w:sz w:val="24"/>
          <w:highlight w:val="yellow"/>
        </w:rPr>
        <w:t>设施</w:t>
      </w:r>
      <w:r>
        <w:rPr>
          <w:rFonts w:ascii="Times New Roman" w:hAnsi="Times New Roman" w:eastAsia="宋体" w:cs="Times New Roman"/>
          <w:b w:val="0"/>
          <w:strike w:val="0"/>
          <w:sz w:val="24"/>
        </w:rPr>
        <w:t>长期服役，</w:t>
      </w:r>
      <w:r>
        <w:rPr>
          <w:rFonts w:ascii="Times New Roman" w:hAnsi="Times New Roman" w:eastAsia="宋体" w:cs="Times New Roman"/>
          <w:b w:val="0"/>
          <w:strike/>
          <w:sz w:val="24"/>
        </w:rPr>
        <w:t>对其定期安全巡检与健康状态评估提出了极高要求。传统的水下巡检作业主要</w:t>
      </w:r>
      <w:r>
        <w:rPr>
          <w:rFonts w:ascii="Times New Roman" w:hAnsi="Times New Roman" w:eastAsia="宋体" w:cs="Times New Roman"/>
          <w:b w:val="0"/>
          <w:strike w:val="0"/>
          <w:sz w:val="24"/>
          <w:highlight w:val="yellow"/>
        </w:rPr>
        <w:t>存在近壁面、狭小空间和水流扰动下的定期巡检需求。相较于</w:t>
      </w:r>
      <w:r>
        <w:rPr>
          <w:rFonts w:ascii="Times New Roman" w:hAnsi="Times New Roman" w:eastAsia="宋体" w:cs="Times New Roman"/>
          <w:b w:val="0"/>
          <w:strike w:val="0"/>
          <w:sz w:val="24"/>
        </w:rPr>
        <w:t>依赖潜水员</w:t>
      </w:r>
      <w:r>
        <w:rPr>
          <w:rFonts w:ascii="Times New Roman" w:hAnsi="Times New Roman" w:eastAsia="宋体" w:cs="Times New Roman"/>
          <w:b w:val="0"/>
          <w:strike/>
          <w:sz w:val="24"/>
        </w:rPr>
        <w:t>人工探查或大型作业级水下装备；受制于人工潜水作业的安全风险与环境限制，以及</w:t>
      </w:r>
      <w:r>
        <w:rPr>
          <w:rFonts w:ascii="Times New Roman" w:hAnsi="Times New Roman" w:eastAsia="宋体" w:cs="Times New Roman"/>
          <w:b w:val="0"/>
          <w:strike w:val="0"/>
          <w:sz w:val="24"/>
          <w:highlight w:val="yellow"/>
        </w:rPr>
        <w:t>或</w:t>
      </w:r>
      <w:r>
        <w:rPr>
          <w:rFonts w:ascii="Times New Roman" w:hAnsi="Times New Roman" w:eastAsia="宋体" w:cs="Times New Roman"/>
          <w:b w:val="0"/>
          <w:strike w:val="0"/>
          <w:sz w:val="24"/>
        </w:rPr>
        <w:t>大型水下装备</w:t>
      </w:r>
      <w:r>
        <w:rPr>
          <w:rFonts w:ascii="Times New Roman" w:hAnsi="Times New Roman" w:eastAsia="宋体" w:cs="Times New Roman"/>
          <w:b w:val="0"/>
          <w:strike/>
          <w:sz w:val="24"/>
        </w:rPr>
        <w:t>在狭窄水域部署繁琐、运维成本高昂等局限，便携</w:t>
      </w:r>
      <w:r>
        <w:rPr>
          <w:rFonts w:ascii="Times New Roman" w:hAnsi="Times New Roman" w:eastAsia="宋体" w:cs="Times New Roman"/>
          <w:b w:val="0"/>
          <w:strike w:val="0"/>
          <w:sz w:val="24"/>
          <w:highlight w:val="yellow"/>
        </w:rPr>
        <w:t>的作业方式，小</w:t>
      </w:r>
      <w:r>
        <w:rPr>
          <w:rFonts w:ascii="Times New Roman" w:hAnsi="Times New Roman" w:eastAsia="宋体" w:cs="Times New Roman"/>
          <w:b w:val="0"/>
          <w:strike w:val="0"/>
          <w:sz w:val="24"/>
        </w:rPr>
        <w:t>型水下航行器（</w:t>
      </w:r>
      <w:r>
        <w:rPr>
          <w:rFonts w:ascii="Times New Roman" w:hAnsi="Times New Roman" w:eastAsia="宋体" w:cs="Times New Roman"/>
          <w:b w:val="0"/>
          <w:strike/>
          <w:sz w:val="24"/>
        </w:rPr>
        <w:t>UUV/</w:t>
      </w:r>
      <w:r>
        <w:rPr>
          <w:rFonts w:ascii="Times New Roman" w:hAnsi="Times New Roman" w:eastAsia="宋体" w:cs="Times New Roman"/>
          <w:b w:val="0"/>
          <w:strike w:val="0"/>
          <w:sz w:val="24"/>
          <w:highlight w:val="yellow"/>
        </w:rPr>
        <w:t>如遥控式水下机器人</w:t>
      </w:r>
      <w:r>
        <w:rPr>
          <w:rFonts w:ascii="Times New Roman" w:hAnsi="Times New Roman" w:eastAsia="宋体" w:cs="Times New Roman"/>
          <w:b w:val="0"/>
          <w:strike w:val="0"/>
          <w:sz w:val="24"/>
        </w:rPr>
        <w:t>ROV）</w:t>
      </w:r>
      <w:r>
        <w:rPr>
          <w:rFonts w:ascii="Times New Roman" w:hAnsi="Times New Roman" w:eastAsia="宋体" w:cs="Times New Roman"/>
          <w:b w:val="0"/>
          <w:strike/>
          <w:sz w:val="24"/>
        </w:rPr>
        <w:t>逐渐成为关键作业装备。因此，提升便携型</w:t>
      </w:r>
      <w:r>
        <w:rPr>
          <w:rFonts w:ascii="Times New Roman" w:hAnsi="Times New Roman" w:eastAsia="宋体" w:cs="Times New Roman"/>
          <w:b w:val="0"/>
          <w:strike w:val="0"/>
          <w:sz w:val="24"/>
          <w:highlight w:val="yellow"/>
        </w:rPr>
        <w:t>在部署灵活性方面具有优势，但其定点悬停、姿态保持和轨迹跟踪性能直接影响近距离观测的稳定性。基于上述工程需求，本课题选取八推进器</w:t>
      </w:r>
      <w:r>
        <w:rPr>
          <w:rFonts w:ascii="Times New Roman" w:hAnsi="Times New Roman" w:eastAsia="宋体" w:cs="Times New Roman"/>
          <w:b w:val="0"/>
          <w:strike w:val="0"/>
          <w:sz w:val="24"/>
        </w:rPr>
        <w:t>水下航行器</w:t>
      </w:r>
      <w:r>
        <w:rPr>
          <w:rFonts w:ascii="Times New Roman" w:hAnsi="Times New Roman" w:eastAsia="宋体" w:cs="Times New Roman"/>
          <w:b w:val="0"/>
          <w:strike/>
          <w:sz w:val="24"/>
        </w:rPr>
        <w:t>在近距离精细巡检任务中的自主运动控制性能，是从根本上摆脱高危人工作业、保障涉水重大基础设施全生命周期安全运行的核心装备支撑，具有明确的工程应用价值与现实紧迫性。</w:t>
      </w:r>
      <w:r>
        <w:rPr>
          <w:rFonts w:ascii="Times New Roman" w:hAnsi="Times New Roman" w:eastAsia="宋体" w:cs="Times New Roman"/>
          <w:b w:val="0"/>
          <w:strike w:val="0"/>
          <w:sz w:val="24"/>
          <w:highlight w:val="yellow"/>
        </w:rPr>
        <w:t>的模型控制方法及PX4平台实现作为研究切入点。</w:t>
      </w:r>
    </w:p>
    <w:p w14:paraId="422CC0B3">
      <w:pPr>
        <w:pStyle w:val="10"/>
        <w:widowControl/>
        <w:spacing w:before="120" w:beforeLines="0" w:after="120" w:afterLines="0" w:line="360" w:lineRule="auto"/>
        <w:ind w:firstLine="482" w:firstLineChars="0"/>
      </w:pPr>
      <w:r>
        <w:rPr>
          <w:rFonts w:ascii="Times New Roman" w:hAnsi="Times New Roman" w:eastAsia="宋体" w:cs="Times New Roman"/>
          <w:b w:val="0"/>
          <w:strike w:val="0"/>
          <w:sz w:val="24"/>
        </w:rPr>
        <w:t>在水下大坝立面、风电桩基及管线等典型巡检任务中，</w:t>
      </w:r>
      <w:r>
        <w:rPr>
          <w:rFonts w:ascii="Times New Roman" w:hAnsi="Times New Roman" w:eastAsia="宋体" w:cs="Times New Roman"/>
          <w:b w:val="0"/>
          <w:strike/>
          <w:sz w:val="24"/>
        </w:rPr>
        <w:t>受限作业空间要求航行器在保持高精度轨迹跟踪的同时，能够</w:t>
      </w:r>
      <w:r>
        <w:rPr>
          <w:rFonts w:ascii="Times New Roman" w:hAnsi="Times New Roman" w:eastAsia="宋体" w:cs="Times New Roman"/>
          <w:b w:val="0"/>
          <w:strike w:val="0"/>
          <w:sz w:val="24"/>
          <w:highlight w:val="yellow"/>
        </w:rPr>
        <w:t>航行器既需沿预定轨迹平稳运动，也需</w:t>
      </w:r>
      <w:r>
        <w:rPr>
          <w:rFonts w:ascii="Times New Roman" w:hAnsi="Times New Roman" w:eastAsia="宋体" w:cs="Times New Roman"/>
          <w:b w:val="0"/>
          <w:strike w:val="0"/>
          <w:sz w:val="24"/>
        </w:rPr>
        <w:t>在近壁对准</w:t>
      </w:r>
      <w:r>
        <w:rPr>
          <w:rFonts w:ascii="Times New Roman" w:hAnsi="Times New Roman" w:eastAsia="宋体" w:cs="Times New Roman"/>
          <w:b w:val="0"/>
          <w:strike/>
          <w:sz w:val="24"/>
        </w:rPr>
        <w:t>与观察等工况下实现多自由度姿态主动调节与</w:t>
      </w:r>
      <w:r>
        <w:rPr>
          <w:rFonts w:ascii="Times New Roman" w:hAnsi="Times New Roman" w:eastAsia="宋体" w:cs="Times New Roman"/>
          <w:b w:val="0"/>
          <w:strike w:val="0"/>
          <w:sz w:val="24"/>
          <w:highlight w:val="yellow"/>
        </w:rPr>
        <w:t>和观察时实现</w:t>
      </w:r>
      <w:r>
        <w:rPr>
          <w:rFonts w:ascii="Times New Roman" w:hAnsi="Times New Roman" w:eastAsia="宋体" w:cs="Times New Roman"/>
          <w:b w:val="0"/>
          <w:strike w:val="0"/>
          <w:sz w:val="24"/>
        </w:rPr>
        <w:t>稳定悬停</w:t>
      </w:r>
      <w:r>
        <w:rPr>
          <w:rFonts w:ascii="Times New Roman" w:hAnsi="Times New Roman" w:eastAsia="宋体" w:cs="Times New Roman"/>
          <w:b w:val="0"/>
          <w:strike/>
          <w:sz w:val="24"/>
        </w:rPr>
        <w:t>。为满足上述高灵巧度作业需求，紧凑型航行器多</w:t>
      </w:r>
      <w:r>
        <w:rPr>
          <w:rFonts w:ascii="Times New Roman" w:hAnsi="Times New Roman" w:eastAsia="宋体" w:cs="Times New Roman"/>
          <w:b w:val="0"/>
          <w:strike w:val="0"/>
          <w:sz w:val="24"/>
          <w:highlight w:val="yellow"/>
        </w:rPr>
        <w:t>与姿态调节。</w:t>
      </w:r>
      <w:r>
        <w:rPr>
          <w:rFonts w:ascii="Times New Roman" w:hAnsi="Times New Roman" w:eastAsia="宋体" w:cs="Times New Roman"/>
          <w:b w:val="0"/>
          <w:strike w:val="0"/>
          <w:sz w:val="24"/>
        </w:rPr>
        <w:t>采用空间矢量布局的八推进器</w:t>
      </w:r>
      <w:r>
        <w:rPr>
          <w:rFonts w:ascii="Times New Roman" w:hAnsi="Times New Roman" w:eastAsia="宋体" w:cs="Times New Roman"/>
          <w:b w:val="0"/>
          <w:strike/>
          <w:sz w:val="24"/>
        </w:rPr>
        <w:t>构型，具备</w:t>
      </w:r>
      <w:r>
        <w:rPr>
          <w:rFonts w:ascii="Times New Roman" w:hAnsi="Times New Roman" w:eastAsia="宋体" w:cs="Times New Roman"/>
          <w:b w:val="0"/>
          <w:strike w:val="0"/>
          <w:sz w:val="24"/>
          <w:highlight w:val="yellow"/>
        </w:rPr>
        <w:t>航行器可通过多推进器协同产生</w:t>
      </w:r>
      <w:r>
        <w:rPr>
          <w:rFonts w:ascii="Times New Roman" w:hAnsi="Times New Roman" w:eastAsia="宋体" w:cs="Times New Roman"/>
          <w:b w:val="0"/>
          <w:strike w:val="0"/>
          <w:sz w:val="24"/>
        </w:rPr>
        <w:t>六自由度</w:t>
      </w:r>
      <w:r>
        <w:rPr>
          <w:rFonts w:ascii="Times New Roman" w:hAnsi="Times New Roman" w:eastAsia="宋体" w:cs="Times New Roman"/>
          <w:b w:val="0"/>
          <w:strike/>
          <w:sz w:val="24"/>
        </w:rPr>
        <w:t>全向主动控制能力；然而，全向</w:t>
      </w:r>
      <w:r>
        <w:rPr>
          <w:rFonts w:ascii="Times New Roman" w:hAnsi="Times New Roman" w:eastAsia="宋体" w:cs="Times New Roman"/>
          <w:b w:val="0"/>
          <w:strike w:val="0"/>
          <w:sz w:val="24"/>
          <w:highlight w:val="yellow"/>
        </w:rPr>
        <w:t>控制力和力矩，但具备多自由度</w:t>
      </w:r>
      <w:r>
        <w:rPr>
          <w:rFonts w:ascii="Times New Roman" w:hAnsi="Times New Roman" w:eastAsia="宋体" w:cs="Times New Roman"/>
          <w:b w:val="0"/>
          <w:strike w:val="0"/>
          <w:sz w:val="24"/>
        </w:rPr>
        <w:t>驱动能力并不意味着</w:t>
      </w:r>
      <w:r>
        <w:rPr>
          <w:rFonts w:ascii="Times New Roman" w:hAnsi="Times New Roman" w:eastAsia="宋体" w:cs="Times New Roman"/>
          <w:b w:val="0"/>
          <w:strike/>
          <w:sz w:val="24"/>
        </w:rPr>
        <w:t>航行体动力学的解耦控制。在水下复杂流体介质中，流体</w:t>
      </w:r>
      <w:r>
        <w:rPr>
          <w:rFonts w:ascii="Times New Roman" w:hAnsi="Times New Roman" w:eastAsia="宋体" w:cs="Times New Roman"/>
          <w:b w:val="0"/>
          <w:strike w:val="0"/>
          <w:sz w:val="24"/>
          <w:highlight w:val="yellow"/>
        </w:rPr>
        <w:t>动力学耦合可以忽略。水下航行器受到</w:t>
      </w:r>
      <w:r>
        <w:rPr>
          <w:rFonts w:ascii="Times New Roman" w:hAnsi="Times New Roman" w:eastAsia="宋体" w:cs="Times New Roman"/>
          <w:b w:val="0"/>
          <w:strike w:val="0"/>
          <w:sz w:val="24"/>
        </w:rPr>
        <w:t>附加质量、</w:t>
      </w:r>
      <w:r>
        <w:rPr>
          <w:rFonts w:ascii="Times New Roman" w:hAnsi="Times New Roman" w:eastAsia="宋体" w:cs="Times New Roman"/>
          <w:b w:val="0"/>
          <w:strike/>
          <w:sz w:val="24"/>
        </w:rPr>
        <w:t>高阶非线性阻尼以及重心与浮心不共线诱发的</w:t>
      </w:r>
      <w:r>
        <w:rPr>
          <w:rFonts w:ascii="Times New Roman" w:hAnsi="Times New Roman" w:eastAsia="宋体" w:cs="Times New Roman"/>
          <w:b w:val="0"/>
          <w:strike w:val="0"/>
          <w:sz w:val="24"/>
          <w:highlight w:val="yellow"/>
        </w:rPr>
        <w:t>速度相关水动力阻尼、静水</w:t>
      </w:r>
      <w:r>
        <w:rPr>
          <w:rFonts w:ascii="Times New Roman" w:hAnsi="Times New Roman" w:eastAsia="宋体" w:cs="Times New Roman"/>
          <w:b w:val="0"/>
          <w:strike w:val="0"/>
          <w:sz w:val="24"/>
        </w:rPr>
        <w:t>恢复力矩</w:t>
      </w:r>
      <w:r>
        <w:rPr>
          <w:rFonts w:ascii="Times New Roman" w:hAnsi="Times New Roman" w:eastAsia="宋体" w:cs="Times New Roman"/>
          <w:b w:val="0"/>
          <w:strike/>
          <w:sz w:val="24"/>
        </w:rPr>
        <w:t>，导致航行器的空间平动与姿态转动存在强烈的非线性交叉耦合</w:t>
      </w:r>
      <w:r>
        <w:rPr>
          <w:rFonts w:ascii="Times New Roman" w:hAnsi="Times New Roman" w:eastAsia="宋体" w:cs="Times New Roman"/>
          <w:b w:val="0"/>
          <w:strike w:val="0"/>
          <w:sz w:val="24"/>
          <w:highlight w:val="yellow"/>
        </w:rPr>
        <w:t>和外部水流扰动等因素影响，平动与转动之间存在耦合关系</w:t>
      </w:r>
      <w:r>
        <w:rPr>
          <w:rFonts w:ascii="Times New Roman" w:hAnsi="Times New Roman" w:eastAsia="宋体" w:cs="Times New Roman"/>
          <w:b w:val="0"/>
          <w:strike w:val="0"/>
          <w:sz w:val="24"/>
        </w:rPr>
        <w:t>[3]；</w:t>
      </w:r>
      <w:r>
        <w:rPr>
          <w:rFonts w:ascii="Times New Roman" w:hAnsi="Times New Roman" w:eastAsia="宋体" w:cs="Times New Roman"/>
          <w:b w:val="0"/>
          <w:strike/>
          <w:sz w:val="24"/>
        </w:rPr>
        <w:t>同时，受紧凑机体尺寸与电机功率限制，多推进器协同输出时面临严格的</w:t>
      </w:r>
      <w:r>
        <w:rPr>
          <w:rFonts w:ascii="Times New Roman" w:hAnsi="Times New Roman" w:eastAsia="宋体" w:cs="Times New Roman"/>
          <w:b w:val="0"/>
          <w:strike w:val="0"/>
          <w:sz w:val="24"/>
          <w:highlight w:val="yellow"/>
        </w:rPr>
        <w:t>推进器还存在</w:t>
      </w:r>
      <w:r>
        <w:rPr>
          <w:rFonts w:ascii="Times New Roman" w:hAnsi="Times New Roman" w:eastAsia="宋体" w:cs="Times New Roman"/>
          <w:b w:val="0"/>
          <w:strike w:val="0"/>
          <w:sz w:val="24"/>
        </w:rPr>
        <w:t>推力幅值</w:t>
      </w:r>
      <w:r>
        <w:rPr>
          <w:rFonts w:ascii="Times New Roman" w:hAnsi="Times New Roman" w:eastAsia="宋体" w:cs="Times New Roman"/>
          <w:b w:val="0"/>
          <w:strike/>
          <w:sz w:val="24"/>
        </w:rPr>
        <w:t>饱和与反向死区等物理硬约束，在执行机动作业时极易诱发</w:t>
      </w:r>
      <w:r>
        <w:rPr>
          <w:rFonts w:ascii="Times New Roman" w:hAnsi="Times New Roman" w:eastAsia="宋体" w:cs="Times New Roman"/>
          <w:b w:val="0"/>
          <w:strike w:val="0"/>
          <w:sz w:val="24"/>
          <w:highlight w:val="yellow"/>
        </w:rPr>
        <w:t>限制、动态响应滞后及正反转死区等非理想特性。当期望控制力和力矩超出可实现范围时，可能出现</w:t>
      </w:r>
      <w:r>
        <w:rPr>
          <w:rFonts w:ascii="Times New Roman" w:hAnsi="Times New Roman" w:eastAsia="宋体" w:cs="Times New Roman"/>
          <w:b w:val="0"/>
          <w:strike w:val="0"/>
          <w:sz w:val="24"/>
        </w:rPr>
        <w:t>执行器饱和与</w:t>
      </w:r>
      <w:r>
        <w:rPr>
          <w:rFonts w:ascii="Times New Roman" w:hAnsi="Times New Roman" w:eastAsia="宋体" w:cs="Times New Roman"/>
          <w:b w:val="0"/>
          <w:strike/>
          <w:sz w:val="24"/>
        </w:rPr>
        <w:t>控制分配失真。</w:t>
      </w:r>
      <w:r>
        <w:rPr>
          <w:rFonts w:ascii="Times New Roman" w:hAnsi="Times New Roman" w:eastAsia="宋体" w:cs="Times New Roman"/>
          <w:b w:val="0"/>
          <w:strike w:val="0"/>
          <w:sz w:val="24"/>
          <w:highlight w:val="yellow"/>
        </w:rPr>
        <w:t>推力分配偏差，进而降低悬停稳定性和轨迹跟踪精度。</w:t>
      </w:r>
    </w:p>
    <w:p>
      <w:pPr>
        <w:pStyle w:val="10"/>
        <w:widowControl/>
        <w:spacing w:before="120" w:beforeLines="0" w:after="120" w:afterLines="0" w:line="360" w:lineRule="auto"/>
        <w:ind w:firstLine="482" w:firstLineChars="0"/>
      </w:pPr>
      <w:r>
        <w:rPr>
          <w:rFonts w:ascii="Times New Roman" w:hAnsi="Times New Roman" w:eastAsia="宋体" w:cs="Times New Roman"/>
          <w:b w:val="0"/>
          <w:strike w:val="0"/>
          <w:sz w:val="24"/>
          <w:highlight w:val="yellow"/>
        </w:rPr>
        <w:t>面对上述多变量耦合与执行器约束，</w:t>
      </w:r>
      <w:r>
        <w:rPr>
          <w:rFonts w:ascii="Times New Roman" w:hAnsi="Times New Roman" w:eastAsia="宋体" w:cs="Times New Roman"/>
          <w:b w:val="0"/>
          <w:strike w:val="0"/>
          <w:sz w:val="24"/>
        </w:rPr>
        <w:t>常规比例—积分—微分（PID）控制</w:t>
      </w:r>
      <w:r>
        <w:rPr>
          <w:rFonts w:ascii="Times New Roman" w:hAnsi="Times New Roman" w:eastAsia="宋体" w:cs="Times New Roman"/>
          <w:b w:val="0"/>
          <w:strike/>
          <w:sz w:val="24"/>
        </w:rPr>
        <w:t>难以直接兼顾多变量耦合与显式执行</w:t>
      </w:r>
      <w:r>
        <w:rPr>
          <w:rFonts w:ascii="Times New Roman" w:hAnsi="Times New Roman" w:eastAsia="宋体" w:cs="Times New Roman"/>
          <w:b w:val="0"/>
          <w:strike w:val="0"/>
          <w:sz w:val="24"/>
          <w:highlight w:val="yellow"/>
        </w:rPr>
        <w:t>实现简便，但难以在控制律中显式协调多推进</w:t>
      </w:r>
      <w:r>
        <w:rPr>
          <w:rFonts w:ascii="Times New Roman" w:hAnsi="Times New Roman" w:eastAsia="宋体" w:cs="Times New Roman"/>
          <w:b w:val="0"/>
          <w:strike w:val="0"/>
          <w:sz w:val="24"/>
        </w:rPr>
        <w:t>器物理约束；</w:t>
      </w:r>
      <w:r>
        <w:rPr>
          <w:rFonts w:ascii="Times New Roman" w:hAnsi="Times New Roman" w:eastAsia="宋体" w:cs="Times New Roman"/>
          <w:b w:val="0"/>
          <w:strike/>
          <w:sz w:val="24"/>
        </w:rPr>
        <w:t>而能够将约束显式纳入优化的</w:t>
      </w:r>
      <w:r>
        <w:rPr>
          <w:rFonts w:ascii="Times New Roman" w:hAnsi="Times New Roman" w:eastAsia="宋体" w:cs="Times New Roman"/>
          <w:b w:val="0"/>
          <w:strike w:val="0"/>
          <w:sz w:val="24"/>
        </w:rPr>
        <w:t>模型预测控制（MPC）</w:t>
      </w:r>
      <w:r>
        <w:rPr>
          <w:rFonts w:ascii="Times New Roman" w:hAnsi="Times New Roman" w:eastAsia="宋体" w:cs="Times New Roman"/>
          <w:b w:val="0"/>
          <w:strike/>
          <w:sz w:val="24"/>
        </w:rPr>
        <w:t>，在嵌入式实时计算受限条件下又面临模型预测精度与</w:t>
      </w:r>
      <w:r>
        <w:rPr>
          <w:rFonts w:ascii="Times New Roman" w:hAnsi="Times New Roman" w:eastAsia="宋体" w:cs="Times New Roman"/>
          <w:b w:val="0"/>
          <w:strike w:val="0"/>
          <w:sz w:val="24"/>
          <w:highlight w:val="yellow"/>
        </w:rPr>
        <w:t>可利用动力学模型进行滚动优化并处理相应约束，却需要权衡模型精度、</w:t>
      </w:r>
      <w:r>
        <w:rPr>
          <w:rFonts w:ascii="Times New Roman" w:hAnsi="Times New Roman" w:eastAsia="宋体" w:cs="Times New Roman"/>
          <w:b w:val="0"/>
          <w:strike w:val="0"/>
          <w:sz w:val="24"/>
        </w:rPr>
        <w:t>在线求解</w:t>
      </w:r>
      <w:r>
        <w:rPr>
          <w:rFonts w:ascii="Times New Roman" w:hAnsi="Times New Roman" w:eastAsia="宋体" w:cs="Times New Roman"/>
          <w:b w:val="0"/>
          <w:strike/>
          <w:sz w:val="24"/>
        </w:rPr>
        <w:t>开销之间的权衡。此外，主流开源自主飞控平台PX4对水下航行器的支持仍处于实验性阶段，其控制框架主要面向传统无模型PID设计，缺乏针对</w:t>
      </w:r>
      <w:r>
        <w:rPr>
          <w:rFonts w:ascii="Times New Roman" w:hAnsi="Times New Roman" w:eastAsia="宋体" w:cs="Times New Roman"/>
          <w:b w:val="0"/>
          <w:strike w:val="0"/>
          <w:sz w:val="24"/>
          <w:highlight w:val="yellow"/>
        </w:rPr>
        <w:t>耗时与嵌入式计算资源。PX4已对BlueROV2 Heavy等水下机型提供实验性支持，并具有部分手动、辅助控制和外部控制能力，但水下自主任务功能仍有完善空间。因此，如何将适用于</w:t>
      </w:r>
      <w:r>
        <w:rPr>
          <w:rFonts w:ascii="Times New Roman" w:hAnsi="Times New Roman" w:eastAsia="宋体" w:cs="Times New Roman"/>
          <w:b w:val="0"/>
          <w:strike w:val="0"/>
          <w:sz w:val="24"/>
        </w:rPr>
        <w:t>八推进器</w:t>
      </w:r>
      <w:r>
        <w:rPr>
          <w:rFonts w:ascii="Times New Roman" w:hAnsi="Times New Roman" w:eastAsia="宋体" w:cs="Times New Roman"/>
          <w:b w:val="0"/>
          <w:strike/>
          <w:sz w:val="24"/>
        </w:rPr>
        <w:t>空间矢量构型的模型预测控制接入机制与闭环验证支持，给先进约束控制算法的工程化部署带来了显著阻碍。</w:t>
      </w:r>
      <w:r>
        <w:rPr>
          <w:rFonts w:ascii="Times New Roman" w:hAnsi="Times New Roman" w:eastAsia="宋体" w:cs="Times New Roman"/>
          <w:b w:val="0"/>
          <w:strike w:val="0"/>
          <w:sz w:val="24"/>
          <w:highlight w:val="yellow"/>
        </w:rPr>
        <w:t>构型的受约束MPC与PX4控制及推力分配流程衔接，并验证闭环控制效果和计算实时性，构成本课题的关键问题。</w:t>
      </w:r>
    </w:p>
    <w:p w14:paraId="2B2C2693">
      <w:pPr>
        <w:pStyle w:val="10"/>
        <w:widowControl/>
        <w:spacing w:before="120" w:beforeLines="0" w:after="120" w:afterLines="0" w:line="360" w:lineRule="auto"/>
        <w:ind w:firstLine="482" w:firstLineChars="0"/>
      </w:pPr>
      <w:r>
        <w:rPr>
          <w:rFonts w:ascii="Times New Roman" w:hAnsi="Times New Roman" w:eastAsia="宋体" w:cs="Times New Roman"/>
          <w:b w:val="0"/>
          <w:strike/>
          <w:sz w:val="24"/>
        </w:rPr>
        <w:t>针对上述水下精细巡检任务中的位姿动力学强耦合、执行器推力硬约束以及飞控系统集成瓶颈</w:t>
      </w:r>
      <w:r>
        <w:rPr>
          <w:rFonts w:ascii="Times New Roman" w:hAnsi="Times New Roman" w:eastAsia="宋体" w:cs="Times New Roman"/>
          <w:b w:val="0"/>
          <w:strike w:val="0"/>
          <w:sz w:val="24"/>
          <w:highlight w:val="yellow"/>
        </w:rPr>
        <w:t>针对水下近距离巡检对悬停稳定性、轨迹跟踪精度及推力约束处理的要求</w:t>
      </w:r>
      <w:r>
        <w:rPr>
          <w:rFonts w:ascii="Times New Roman" w:hAnsi="Times New Roman" w:eastAsia="宋体" w:cs="Times New Roman"/>
          <w:b w:val="0"/>
          <w:strike w:val="0"/>
          <w:sz w:val="24"/>
        </w:rPr>
        <w:t>，本课题以八推进器紧凑型水下航行器为研究对象，</w:t>
      </w:r>
      <w:r>
        <w:rPr>
          <w:rFonts w:ascii="Times New Roman" w:hAnsi="Times New Roman" w:eastAsia="宋体" w:cs="Times New Roman"/>
          <w:b w:val="0"/>
          <w:strike/>
          <w:sz w:val="24"/>
        </w:rPr>
        <w:t>旨在研究兼顾物理硬约束与计算实时性</w:t>
      </w:r>
      <w:r>
        <w:rPr>
          <w:rFonts w:ascii="Times New Roman" w:hAnsi="Times New Roman" w:eastAsia="宋体" w:cs="Times New Roman"/>
          <w:b w:val="0"/>
          <w:strike w:val="0"/>
          <w:sz w:val="24"/>
          <w:highlight w:val="yellow"/>
        </w:rPr>
        <w:t>拟建立适用于控制设计的六自由度动力学及推进器控制分配模型，设计考虑推力约束</w:t>
      </w:r>
      <w:r>
        <w:rPr>
          <w:rFonts w:ascii="Times New Roman" w:hAnsi="Times New Roman" w:eastAsia="宋体" w:cs="Times New Roman"/>
          <w:b w:val="0"/>
          <w:strike w:val="0"/>
          <w:sz w:val="24"/>
        </w:rPr>
        <w:t>的模型预测控制（MPC）方法，并</w:t>
      </w:r>
      <w:r>
        <w:rPr>
          <w:rFonts w:ascii="Times New Roman" w:hAnsi="Times New Roman" w:eastAsia="宋体" w:cs="Times New Roman"/>
          <w:b w:val="0"/>
          <w:strike/>
          <w:sz w:val="24"/>
        </w:rPr>
        <w:t>探索其</w:t>
      </w:r>
      <w:r>
        <w:rPr>
          <w:rFonts w:ascii="Times New Roman" w:hAnsi="Times New Roman" w:eastAsia="宋体" w:cs="Times New Roman"/>
          <w:b w:val="0"/>
          <w:strike w:val="0"/>
          <w:sz w:val="24"/>
        </w:rPr>
        <w:t>在PX4</w:t>
      </w:r>
      <w:r>
        <w:rPr>
          <w:rFonts w:ascii="Times New Roman" w:hAnsi="Times New Roman" w:eastAsia="宋体" w:cs="Times New Roman"/>
          <w:b w:val="0"/>
          <w:strike/>
          <w:sz w:val="24"/>
        </w:rPr>
        <w:t>开源飞控平台上的工程集成与实现</w:t>
      </w:r>
      <w:r>
        <w:rPr>
          <w:rFonts w:ascii="Times New Roman" w:hAnsi="Times New Roman" w:eastAsia="宋体" w:cs="Times New Roman"/>
          <w:b w:val="0"/>
          <w:strike w:val="0"/>
          <w:sz w:val="24"/>
          <w:highlight w:val="yellow"/>
        </w:rPr>
        <w:t>相关控制与仿真环境中开展闭环验证。研究拟以常规PID控制为对比基线，重点考察轨迹跟踪误差、悬停姿态波动、推力饱和情况和控制器单次求解耗时</w:t>
      </w:r>
      <w:r>
        <w:rPr>
          <w:rFonts w:ascii="Times New Roman" w:hAnsi="Times New Roman" w:eastAsia="宋体" w:cs="Times New Roman"/>
          <w:b w:val="0"/>
          <w:strike w:val="0"/>
          <w:sz w:val="24"/>
        </w:rPr>
        <w:t>。在理论层面，</w:t>
      </w:r>
      <w:r>
        <w:rPr>
          <w:rFonts w:ascii="Times New Roman" w:hAnsi="Times New Roman" w:eastAsia="宋体" w:cs="Times New Roman"/>
          <w:b w:val="0"/>
          <w:strike/>
          <w:sz w:val="24"/>
        </w:rPr>
        <w:t>本研究可为紧凑型过驱动水下航行器在强非线性流体扰动与执行器饱和约束下的多变量协调优化控制提供严谨的受约束预测控制设计与分析参考</w:t>
      </w:r>
      <w:r>
        <w:rPr>
          <w:rFonts w:ascii="Times New Roman" w:hAnsi="Times New Roman" w:eastAsia="宋体" w:cs="Times New Roman"/>
          <w:b w:val="0"/>
          <w:strike w:val="0"/>
          <w:sz w:val="24"/>
          <w:highlight w:val="yellow"/>
        </w:rPr>
        <w:t>研究有助于分析水动力耦合、执行器约束与实时计算要求之间的控制性能权衡</w:t>
      </w:r>
      <w:r>
        <w:rPr>
          <w:rFonts w:ascii="Times New Roman" w:hAnsi="Times New Roman" w:eastAsia="宋体" w:cs="Times New Roman"/>
          <w:b w:val="0"/>
          <w:strike w:val="0"/>
          <w:sz w:val="24"/>
        </w:rPr>
        <w:t>；在工程层面，</w:t>
      </w:r>
      <w:r>
        <w:rPr>
          <w:rFonts w:ascii="Times New Roman" w:hAnsi="Times New Roman" w:eastAsia="宋体" w:cs="Times New Roman"/>
          <w:b w:val="0"/>
          <w:strike/>
          <w:sz w:val="24"/>
        </w:rPr>
        <w:t>有助于打通先进约束预测控制算法在标准化开源工业级飞控系统中的工程集成链路，为涉水重大基础设施高精度、低成本的无人化自主安全巡检提供切实可行的控制技术支撑。</w:t>
      </w:r>
      <w:r>
        <w:rPr>
          <w:rFonts w:ascii="Times New Roman" w:hAnsi="Times New Roman" w:eastAsia="宋体" w:cs="Times New Roman"/>
          <w:b w:val="0"/>
          <w:strike w:val="0"/>
          <w:sz w:val="24"/>
          <w:highlight w:val="yellow"/>
        </w:rPr>
        <w:t>预期形成可复现的PX4控制集成与验证流程，为小型水下航行器近距离巡检的运动控制提供方法参考。</w:t>
      </w:r>
    </w:p>
    <w:p w14:paraId="4100DB2C">
      <w:pPr>
        <w:pStyle w:val="9"/>
        <w:tabs>
          <w:tab w:val="left" w:pos="7083"/>
        </w:tabs>
        <w:spacing w:before="120" w:after="120" w:line="360" w:lineRule="auto"/>
        <w:ind w:firstLine="0"/>
        <w:rPr>
          <w:rFonts w:hint="eastAsia"/>
          <w:sz w:val="24"/>
        </w:rPr>
      </w:pPr>
      <w:r>
        <w:rPr>
          <w:rFonts w:ascii="Times New Roman" w:hAnsi="Times New Roman" w:eastAsia="黑体" w:cs="Times New Roman"/>
          <w:b w:val="0"/>
          <w:sz w:val="24"/>
        </w:rPr>
        <w:t>2．国内外在该方向的研究现状</w:t>
      </w:r>
      <w:r>
        <w:rPr>
          <w:rFonts w:hint="eastAsia" w:ascii="Times New Roman" w:hAnsi="Times New Roman" w:eastAsia="黑体" w:cs="Times New Roman"/>
          <w:b w:val="0"/>
          <w:sz w:val="24"/>
        </w:rPr>
        <w:t>和发展趋势</w:t>
      </w:r>
      <w:r>
        <w:rPr>
          <w:rFonts w:ascii="Times New Roman" w:hAnsi="Times New Roman" w:eastAsia="黑体" w:cs="Times New Roman"/>
          <w:b w:val="0"/>
          <w:sz w:val="24"/>
        </w:rPr>
        <w:tab/>
      </w:r>
    </w:p>
    <w:p w14:paraId="58E4FB34">
      <w:pPr>
        <w:pStyle w:val="10"/>
        <w:ind w:firstLine="480"/>
        <w:rPr>
          <w:rFonts w:hint="eastAsia" w:ascii="宋体" w:hAnsi="宋体"/>
        </w:rPr>
      </w:pPr>
    </w:p>
    <w:permEnd w:id="10"/>
    <w:p w14:paraId="6385DA06">
      <w:pPr>
        <w:spacing w:before="120" w:beforeLines="50" w:after="120" w:afterLines="50" w:line="360" w:lineRule="auto"/>
        <w:ind w:firstLine="560"/>
        <w:rPr>
          <w:rFonts w:hint="eastAsia" w:ascii="黑体" w:eastAsia="黑体"/>
          <w:sz w:val="28"/>
        </w:rPr>
      </w:pPr>
      <w:r>
        <w:rPr>
          <w:rFonts w:hint="eastAsia" w:ascii="黑体" w:eastAsia="黑体"/>
          <w:sz w:val="28"/>
        </w:rPr>
        <w:t>二、</w:t>
      </w:r>
      <w:permStart w:id="11" w:edGrp="everyone"/>
      <w:r>
        <w:rPr>
          <w:rFonts w:hint="eastAsia" w:ascii="黑体" w:eastAsia="黑体"/>
          <w:sz w:val="28"/>
        </w:rPr>
        <w:t>毕业设计（论文）</w:t>
      </w:r>
      <w:permEnd w:id="11"/>
      <w:r>
        <w:rPr>
          <w:rFonts w:hint="eastAsia" w:ascii="黑体" w:eastAsia="黑体"/>
          <w:sz w:val="28"/>
        </w:rPr>
        <w:t>方案介绍</w:t>
      </w:r>
    </w:p>
    <w:p w14:paraId="2109F3BF">
      <w:pPr>
        <w:pStyle w:val="9"/>
        <w:spacing w:before="120" w:after="120" w:line="360" w:lineRule="auto"/>
        <w:ind w:firstLine="480"/>
        <w:rPr>
          <w:rFonts w:ascii="黑体" w:hAnsi="黑体"/>
          <w:sz w:val="24"/>
        </w:rPr>
      </w:pPr>
      <w:permStart w:id="12" w:edGrp="everyone"/>
      <w:r>
        <w:rPr>
          <w:rFonts w:hint="eastAsia" w:ascii="黑体" w:hAnsi="黑体"/>
          <w:sz w:val="24"/>
        </w:rPr>
        <w:t>1</w:t>
      </w:r>
      <w:r>
        <w:rPr>
          <w:rFonts w:ascii="黑体" w:hAnsi="黑体"/>
          <w:sz w:val="24"/>
        </w:rPr>
        <w:t>．</w:t>
      </w:r>
      <w:r>
        <w:rPr>
          <w:rFonts w:hint="eastAsia" w:ascii="黑体" w:hAnsi="黑体"/>
          <w:sz w:val="24"/>
        </w:rPr>
        <w:t>主要研究内容（包括但不限于预期研究目标、研究内容要点等。）</w:t>
      </w:r>
    </w:p>
    <w:p w14:paraId="15D89884">
      <w:pPr>
        <w:pStyle w:val="10"/>
        <w:ind w:firstLine="480"/>
        <w:rPr>
          <w:rFonts w:hint="eastAsia"/>
        </w:rPr>
      </w:pPr>
    </w:p>
    <w:p w14:paraId="315FC749">
      <w:pPr>
        <w:pStyle w:val="9"/>
        <w:spacing w:before="120" w:after="120" w:line="360" w:lineRule="auto"/>
        <w:ind w:firstLine="480"/>
        <w:rPr>
          <w:rFonts w:ascii="黑体" w:hAnsi="黑体"/>
          <w:sz w:val="24"/>
        </w:rPr>
      </w:pPr>
      <w:r>
        <w:rPr>
          <w:rFonts w:hint="eastAsia" w:ascii="黑体" w:hAnsi="黑体"/>
          <w:sz w:val="24"/>
        </w:rPr>
        <w:t>2</w:t>
      </w:r>
      <w:r>
        <w:rPr>
          <w:rFonts w:ascii="黑体" w:hAnsi="黑体"/>
          <w:sz w:val="24"/>
        </w:rPr>
        <w:t>．</w:t>
      </w:r>
      <w:r>
        <w:rPr>
          <w:rFonts w:hint="eastAsia" w:ascii="黑体" w:hAnsi="黑体"/>
          <w:sz w:val="24"/>
        </w:rPr>
        <w:t>研究方案（包括但不限于拟采取的研究方法、技术路线图、可行性分析等）</w:t>
      </w:r>
    </w:p>
    <w:p w14:paraId="426D125D">
      <w:pPr>
        <w:pStyle w:val="10"/>
        <w:ind w:firstLine="480"/>
        <w:rPr>
          <w:rFonts w:hint="eastAsia"/>
        </w:rPr>
      </w:pPr>
    </w:p>
    <w:p w14:paraId="6D664144">
      <w:pPr>
        <w:pStyle w:val="9"/>
        <w:spacing w:before="120" w:after="120" w:line="360" w:lineRule="auto"/>
        <w:ind w:firstLine="480"/>
        <w:rPr>
          <w:rFonts w:hint="eastAsia" w:ascii="黑体" w:hAnsi="黑体"/>
          <w:sz w:val="24"/>
        </w:rPr>
      </w:pPr>
      <w:r>
        <w:rPr>
          <w:rFonts w:hint="eastAsia" w:ascii="黑体" w:hAnsi="黑体"/>
          <w:sz w:val="24"/>
        </w:rPr>
        <w:t>3</w:t>
      </w:r>
      <w:r>
        <w:rPr>
          <w:rFonts w:ascii="黑体" w:hAnsi="黑体"/>
          <w:sz w:val="24"/>
        </w:rPr>
        <w:t>．</w:t>
      </w:r>
      <w:r>
        <w:rPr>
          <w:rFonts w:hint="eastAsia" w:ascii="黑体" w:hAnsi="黑体"/>
          <w:sz w:val="24"/>
        </w:rPr>
        <w:t>工作</w:t>
      </w:r>
      <w:r>
        <w:rPr>
          <w:rFonts w:ascii="黑体" w:hAnsi="黑体"/>
          <w:sz w:val="24"/>
        </w:rPr>
        <w:t>进度安排</w:t>
      </w:r>
    </w:p>
    <w:p w14:paraId="06E2B27C">
      <w:pPr>
        <w:pStyle w:val="10"/>
        <w:ind w:firstLine="480"/>
        <w:rPr>
          <w:rFonts w:hint="eastAsia" w:ascii="宋体" w:hAnsi="宋体"/>
        </w:rPr>
      </w:pPr>
    </w:p>
    <w:permEnd w:id="12"/>
    <w:p w14:paraId="41E5FE5D">
      <w:pPr>
        <w:spacing w:before="120" w:beforeLines="50" w:after="120" w:afterLines="50" w:line="360" w:lineRule="auto"/>
        <w:ind w:firstLine="560"/>
        <w:rPr>
          <w:rFonts w:hint="eastAsia" w:ascii="黑体" w:eastAsia="黑体"/>
          <w:sz w:val="28"/>
        </w:rPr>
      </w:pPr>
      <w:r>
        <w:rPr>
          <w:rFonts w:hint="eastAsia" w:ascii="黑体" w:eastAsia="黑体"/>
          <w:sz w:val="28"/>
        </w:rPr>
        <w:t>三、</w:t>
      </w:r>
      <w:permStart w:id="13" w:edGrp="everyone"/>
      <w:r>
        <w:rPr>
          <w:rFonts w:hint="eastAsia" w:ascii="黑体" w:eastAsia="黑体"/>
          <w:sz w:val="28"/>
        </w:rPr>
        <w:t>毕业设计（论文）</w:t>
      </w:r>
      <w:permEnd w:id="13"/>
      <w:r>
        <w:rPr>
          <w:rFonts w:hint="eastAsia" w:ascii="黑体" w:eastAsia="黑体"/>
          <w:sz w:val="28"/>
        </w:rPr>
        <w:t>的主要参考文献</w:t>
      </w:r>
    </w:p>
    <w:p w14:paraId="2F5BFBEB">
      <w:pPr>
        <w:pStyle w:val="11"/>
        <w:rPr>
          <w:rFonts w:ascii="宋体" w:hAnsi="宋体"/>
        </w:rPr>
      </w:pPr>
      <w:permStart w:id="14" w:edGrp="everyone"/>
    </w:p>
    <w:p w14:paraId="76DC40CE">
      <w:pPr>
        <w:pStyle w:val="11"/>
        <w:rPr>
          <w:rFonts w:ascii="宋体" w:hAnsi="宋体"/>
        </w:rPr>
      </w:pPr>
    </w:p>
    <w:p w14:paraId="7AAF2840">
      <w:pPr>
        <w:pStyle w:val="11"/>
        <w:rPr>
          <w:rFonts w:hint="eastAsia" w:ascii="宋体" w:hAnsi="宋体"/>
        </w:rPr>
      </w:pPr>
    </w:p>
    <w:permEnd w:id="14"/>
    <w:p w14:paraId="2CA8248D">
      <w:pPr>
        <w:keepNext/>
        <w:spacing w:before="120" w:beforeLines="50" w:after="120" w:afterLines="50" w:line="360" w:lineRule="exact"/>
        <w:ind w:firstLine="560"/>
        <w:rPr>
          <w:rFonts w:hint="eastAsia" w:ascii="黑体" w:eastAsia="黑体"/>
          <w:sz w:val="28"/>
        </w:rPr>
      </w:pPr>
      <w:r>
        <w:rPr>
          <w:rFonts w:hint="eastAsia" w:ascii="黑体" w:eastAsia="黑体"/>
          <w:sz w:val="28"/>
        </w:rPr>
        <w:t>四、审核意见</w:t>
      </w:r>
    </w:p>
    <w:tbl>
      <w:tblPr>
        <w:tblStyle w:val="5"/>
        <w:tblW w:w="85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3A9BF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8" w:hRule="atLeast"/>
        </w:trPr>
        <w:tc>
          <w:tcPr>
            <w:tcW w:w="8500" w:type="dxa"/>
            <w:vAlign w:val="bottom"/>
          </w:tcPr>
          <w:p w14:paraId="498EEE18">
            <w:pPr>
              <w:spacing w:line="360" w:lineRule="exact"/>
              <w:ind w:firstLine="480"/>
              <w:rPr>
                <w:rFonts w:hint="eastAsia" w:ascii="宋体" w:hAnsi="宋体"/>
                <w:szCs w:val="21"/>
              </w:rPr>
            </w:pPr>
            <w:r>
              <w:rPr>
                <w:rFonts w:ascii="黑体" w:hAnsi="宋体" w:eastAsia="黑体"/>
                <w:szCs w:val="24"/>
              </w:rPr>
              <w:t>指导教师意见：</w:t>
            </w:r>
            <w:permStart w:id="15" w:edGrp="everyone"/>
          </w:p>
          <w:p w14:paraId="0B50E364">
            <w:pPr>
              <w:spacing w:line="360" w:lineRule="exact"/>
              <w:ind w:firstLine="480"/>
              <w:rPr>
                <w:rFonts w:hint="eastAsia" w:ascii="宋体" w:hAnsi="宋体"/>
                <w:color w:val="ADADAD"/>
                <w:szCs w:val="24"/>
              </w:rPr>
            </w:pPr>
            <w:r>
              <w:rPr>
                <w:rFonts w:ascii="宋体" w:hAnsi="宋体"/>
                <w:color w:val="ADADAD"/>
                <w:szCs w:val="24"/>
              </w:rPr>
              <w:t>（课题难度是否适中、工作量是否饱满、进度安排是否合理、工作条件是否具备、是否同意开题等）</w:t>
            </w:r>
          </w:p>
          <w:p w14:paraId="3930308C">
            <w:pPr>
              <w:pStyle w:val="10"/>
              <w:ind w:firstLine="480"/>
              <w:rPr>
                <w:rFonts w:hint="eastAsia"/>
              </w:rPr>
            </w:pPr>
          </w:p>
          <w:p w14:paraId="08C32DB3">
            <w:pPr>
              <w:pStyle w:val="10"/>
              <w:ind w:firstLine="480"/>
              <w:rPr>
                <w:rFonts w:hint="eastAsia"/>
              </w:rPr>
            </w:pPr>
          </w:p>
          <w:p w14:paraId="42BCE067">
            <w:pPr>
              <w:pStyle w:val="10"/>
              <w:ind w:firstLine="480"/>
              <w:rPr>
                <w:rFonts w:hint="eastAsia"/>
              </w:rPr>
            </w:pPr>
          </w:p>
          <w:p w14:paraId="62F9A7FB">
            <w:pPr>
              <w:pStyle w:val="10"/>
              <w:ind w:firstLine="480"/>
              <w:rPr>
                <w:rFonts w:hint="eastAsia"/>
              </w:rPr>
            </w:pPr>
          </w:p>
          <w:p w14:paraId="1EAE3CD9">
            <w:pPr>
              <w:pStyle w:val="10"/>
              <w:ind w:firstLine="480"/>
              <w:rPr>
                <w:rFonts w:hint="eastAsia"/>
              </w:rPr>
            </w:pPr>
          </w:p>
          <w:p w14:paraId="1D61238E">
            <w:pPr>
              <w:pStyle w:val="10"/>
              <w:ind w:firstLine="480"/>
              <w:rPr>
                <w:rFonts w:hint="eastAsia"/>
              </w:rPr>
            </w:pPr>
          </w:p>
          <w:p w14:paraId="329DC671">
            <w:pPr>
              <w:pStyle w:val="10"/>
              <w:ind w:firstLine="480"/>
              <w:rPr>
                <w:rFonts w:hint="eastAsia"/>
              </w:rPr>
            </w:pPr>
          </w:p>
          <w:permEnd w:id="15"/>
          <w:p w14:paraId="69D2BE4E">
            <w:pPr>
              <w:ind w:firstLine="5520" w:firstLineChars="2300"/>
              <w:rPr>
                <w:rFonts w:hint="eastAsia" w:ascii="黑体" w:hAnsi="宋体" w:eastAsia="黑体"/>
                <w:szCs w:val="24"/>
              </w:rPr>
            </w:pPr>
            <w:r>
              <w:rPr>
                <w:rFonts w:hint="eastAsia" w:ascii="黑体" w:hAnsi="宋体" w:eastAsia="黑体"/>
                <w:szCs w:val="24"/>
              </w:rPr>
              <w:t>指导教师签名</w:t>
            </w:r>
            <w:r>
              <w:rPr>
                <w:rFonts w:hint="eastAsia" w:ascii="黑体" w:hAnsi="宋体" w:eastAsia="黑体"/>
                <w:szCs w:val="24"/>
                <w:u w:val="single"/>
              </w:rPr>
              <w:t xml:space="preserve">   </w:t>
            </w:r>
            <w:permStart w:id="16" w:edGrp="everyone"/>
            <w:r>
              <w:rPr>
                <w:rFonts w:hint="eastAsia" w:ascii="黑体" w:hAnsi="宋体" w:eastAsia="黑体"/>
                <w:szCs w:val="24"/>
                <w:u w:val="single"/>
              </w:rPr>
              <w:t xml:space="preserve">  </w:t>
            </w:r>
            <w:permEnd w:id="16"/>
            <w:r>
              <w:rPr>
                <w:rFonts w:hint="eastAsia" w:ascii="黑体" w:hAnsi="宋体" w:eastAsia="黑体"/>
                <w:szCs w:val="24"/>
                <w:u w:val="single"/>
              </w:rPr>
              <w:t xml:space="preserve">  </w:t>
            </w:r>
          </w:p>
          <w:p w14:paraId="54DBADB2">
            <w:pPr>
              <w:ind w:firstLine="480"/>
              <w:jc w:val="center"/>
              <w:rPr>
                <w:rFonts w:hint="eastAsia" w:ascii="黑体" w:hAnsi="宋体" w:eastAsia="黑体"/>
                <w:szCs w:val="24"/>
              </w:rPr>
            </w:pPr>
            <w:r>
              <w:rPr>
                <w:rFonts w:hint="eastAsia" w:ascii="宋体" w:hAnsi="宋体"/>
                <w:szCs w:val="24"/>
              </w:rPr>
              <w:t xml:space="preserve">                                        </w:t>
            </w:r>
            <w:r>
              <w:rPr>
                <w:rFonts w:hint="eastAsia" w:ascii="宋体" w:hAnsi="宋体"/>
                <w:szCs w:val="24"/>
                <w:u w:val="single"/>
              </w:rPr>
              <w:t xml:space="preserve"> </w:t>
            </w:r>
            <w:permStart w:id="17" w:edGrp="everyone"/>
            <w:r>
              <w:rPr>
                <w:rFonts w:hint="eastAsia" w:ascii="宋体" w:hAnsi="宋体"/>
                <w:szCs w:val="24"/>
                <w:u w:val="single"/>
              </w:rPr>
              <w:t xml:space="preserve"> </w:t>
            </w:r>
            <w:permEnd w:id="17"/>
            <w:r>
              <w:rPr>
                <w:rFonts w:hint="eastAsia" w:ascii="宋体" w:hAnsi="宋体"/>
                <w:szCs w:val="24"/>
                <w:u w:val="single"/>
              </w:rPr>
              <w:t xml:space="preserve"> </w:t>
            </w:r>
            <w:r>
              <w:rPr>
                <w:rFonts w:hint="eastAsia" w:ascii="黑体" w:hAnsi="宋体" w:eastAsia="黑体"/>
                <w:szCs w:val="24"/>
              </w:rPr>
              <w:t>年</w:t>
            </w:r>
            <w:r>
              <w:rPr>
                <w:rFonts w:hint="eastAsia" w:ascii="宋体" w:hAnsi="宋体"/>
                <w:szCs w:val="24"/>
                <w:u w:val="single"/>
              </w:rPr>
              <w:t xml:space="preserve"> </w:t>
            </w:r>
            <w:permStart w:id="18" w:edGrp="everyone"/>
            <w:r>
              <w:rPr>
                <w:rFonts w:hint="eastAsia" w:ascii="宋体" w:hAnsi="宋体"/>
                <w:szCs w:val="24"/>
                <w:u w:val="single"/>
              </w:rPr>
              <w:t xml:space="preserve"> </w:t>
            </w:r>
            <w:permEnd w:id="18"/>
            <w:r>
              <w:rPr>
                <w:rFonts w:hint="eastAsia" w:ascii="宋体" w:hAnsi="宋体"/>
                <w:szCs w:val="24"/>
                <w:u w:val="single"/>
              </w:rPr>
              <w:t xml:space="preserve"> </w:t>
            </w:r>
            <w:r>
              <w:rPr>
                <w:rFonts w:hint="eastAsia" w:ascii="黑体" w:hAnsi="宋体" w:eastAsia="黑体"/>
                <w:szCs w:val="24"/>
              </w:rPr>
              <w:t>月</w:t>
            </w:r>
            <w:r>
              <w:rPr>
                <w:rFonts w:hint="eastAsia" w:ascii="宋体" w:hAnsi="宋体"/>
                <w:szCs w:val="24"/>
                <w:u w:val="single"/>
              </w:rPr>
              <w:t xml:space="preserve"> </w:t>
            </w:r>
            <w:permStart w:id="19" w:edGrp="everyone"/>
            <w:r>
              <w:rPr>
                <w:rFonts w:hint="eastAsia" w:ascii="宋体" w:hAnsi="宋体"/>
                <w:szCs w:val="24"/>
                <w:u w:val="single"/>
              </w:rPr>
              <w:t xml:space="preserve"> </w:t>
            </w:r>
            <w:permEnd w:id="19"/>
            <w:r>
              <w:rPr>
                <w:rFonts w:hint="eastAsia" w:ascii="宋体" w:hAnsi="宋体"/>
                <w:szCs w:val="24"/>
                <w:u w:val="single"/>
              </w:rPr>
              <w:t xml:space="preserve"> </w:t>
            </w:r>
            <w:r>
              <w:rPr>
                <w:rFonts w:hint="eastAsia" w:ascii="黑体" w:hAnsi="宋体" w:eastAsia="黑体"/>
                <w:szCs w:val="24"/>
              </w:rPr>
              <w:t>日</w:t>
            </w:r>
          </w:p>
          <w:p w14:paraId="0AA36D12">
            <w:pPr>
              <w:ind w:firstLine="560"/>
              <w:jc w:val="center"/>
              <w:rPr>
                <w:rFonts w:hint="eastAsia" w:ascii="宋体" w:hAnsi="宋体"/>
                <w:sz w:val="28"/>
              </w:rPr>
            </w:pPr>
          </w:p>
        </w:tc>
      </w:tr>
      <w:tr w14:paraId="4FEE1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5" w:hRule="atLeast"/>
        </w:trPr>
        <w:tc>
          <w:tcPr>
            <w:tcW w:w="8500" w:type="dxa"/>
            <w:vAlign w:val="bottom"/>
          </w:tcPr>
          <w:p w14:paraId="0BA4A45F">
            <w:pPr>
              <w:ind w:firstLine="480"/>
              <w:rPr>
                <w:rFonts w:hint="eastAsia" w:ascii="黑体" w:hAnsi="楷体" w:eastAsia="黑体"/>
                <w:szCs w:val="24"/>
              </w:rPr>
            </w:pPr>
            <w:r>
              <w:rPr>
                <w:rFonts w:hint="eastAsia" w:ascii="黑体" w:hAnsi="楷体" w:eastAsia="黑体"/>
                <w:szCs w:val="24"/>
              </w:rPr>
              <w:t>专业审核意见：</w:t>
            </w:r>
          </w:p>
          <w:p w14:paraId="464295D2">
            <w:pPr>
              <w:spacing w:line="360" w:lineRule="auto"/>
              <w:ind w:firstLine="480"/>
              <w:rPr>
                <w:rFonts w:hint="eastAsia" w:ascii="宋体" w:hAnsi="宋体"/>
                <w:color w:val="ADADAD"/>
                <w:szCs w:val="24"/>
              </w:rPr>
            </w:pPr>
            <w:permStart w:id="20" w:edGrp="everyone"/>
            <w:r>
              <w:rPr>
                <w:rFonts w:hint="eastAsia" w:hAnsi="宋体"/>
                <w:color w:val="ADADAD"/>
                <w:szCs w:val="24"/>
              </w:rPr>
              <w:t>（适当对各项内容给与意见和评价，字数不限。）</w:t>
            </w:r>
          </w:p>
          <w:p w14:paraId="037A73CE">
            <w:pPr>
              <w:pStyle w:val="10"/>
              <w:ind w:firstLine="480"/>
              <w:rPr>
                <w:rFonts w:hint="eastAsia"/>
              </w:rPr>
            </w:pPr>
          </w:p>
          <w:p w14:paraId="0BB96980">
            <w:pPr>
              <w:pStyle w:val="10"/>
              <w:ind w:firstLine="480"/>
              <w:rPr>
                <w:rFonts w:hint="eastAsia"/>
              </w:rPr>
            </w:pPr>
          </w:p>
          <w:p w14:paraId="631107CC">
            <w:pPr>
              <w:pStyle w:val="10"/>
              <w:ind w:firstLine="480"/>
              <w:rPr>
                <w:rFonts w:hint="eastAsia"/>
              </w:rPr>
            </w:pPr>
          </w:p>
          <w:p w14:paraId="1F651512">
            <w:pPr>
              <w:pStyle w:val="10"/>
              <w:ind w:firstLine="480"/>
              <w:rPr>
                <w:rFonts w:hint="eastAsia"/>
              </w:rPr>
            </w:pPr>
          </w:p>
          <w:p w14:paraId="03E625F7">
            <w:pPr>
              <w:pStyle w:val="10"/>
              <w:ind w:firstLine="480"/>
              <w:rPr>
                <w:rFonts w:hint="eastAsia"/>
              </w:rPr>
            </w:pPr>
          </w:p>
          <w:permEnd w:id="20"/>
          <w:p w14:paraId="2F4B20B7">
            <w:pPr>
              <w:ind w:firstLine="5760" w:firstLineChars="2400"/>
              <w:rPr>
                <w:rFonts w:hint="eastAsia" w:ascii="黑体" w:hAnsi="宋体" w:eastAsia="黑体"/>
                <w:szCs w:val="24"/>
              </w:rPr>
            </w:pPr>
            <w:r>
              <w:rPr>
                <w:rFonts w:hint="eastAsia" w:ascii="黑体" w:hAnsi="宋体" w:eastAsia="黑体"/>
                <w:szCs w:val="24"/>
              </w:rPr>
              <w:t>负责人签名</w:t>
            </w:r>
            <w:r>
              <w:rPr>
                <w:rFonts w:hint="eastAsia" w:ascii="黑体" w:hAnsi="宋体" w:eastAsia="黑体"/>
                <w:szCs w:val="24"/>
                <w:u w:val="single"/>
              </w:rPr>
              <w:t xml:space="preserve">  </w:t>
            </w:r>
            <w:permStart w:id="21" w:edGrp="everyone"/>
            <w:r>
              <w:rPr>
                <w:rFonts w:hint="eastAsia" w:ascii="黑体" w:hAnsi="宋体" w:eastAsia="黑体"/>
                <w:szCs w:val="24"/>
                <w:u w:val="single"/>
              </w:rPr>
              <w:t xml:space="preserve">  </w:t>
            </w:r>
            <w:permEnd w:id="21"/>
            <w:r>
              <w:rPr>
                <w:rFonts w:hint="eastAsia" w:ascii="黑体" w:hAnsi="宋体" w:eastAsia="黑体"/>
                <w:szCs w:val="24"/>
                <w:u w:val="single"/>
              </w:rPr>
              <w:t xml:space="preserve">  </w:t>
            </w:r>
          </w:p>
          <w:p w14:paraId="7032D7DB">
            <w:pPr>
              <w:ind w:firstLine="480"/>
              <w:jc w:val="center"/>
              <w:rPr>
                <w:rFonts w:hint="eastAsia" w:ascii="楷体" w:hAnsi="楷体" w:eastAsia="楷体"/>
                <w:szCs w:val="24"/>
              </w:rPr>
            </w:pPr>
            <w:r>
              <w:rPr>
                <w:rFonts w:hint="eastAsia" w:ascii="宋体" w:hAnsi="宋体"/>
                <w:szCs w:val="24"/>
              </w:rPr>
              <w:t xml:space="preserve">                                          </w:t>
            </w:r>
            <w:r>
              <w:rPr>
                <w:rFonts w:hint="eastAsia" w:ascii="宋体" w:hAnsi="宋体"/>
                <w:szCs w:val="24"/>
                <w:u w:val="single"/>
              </w:rPr>
              <w:t xml:space="preserve"> </w:t>
            </w:r>
            <w:permStart w:id="22" w:edGrp="everyone"/>
            <w:r>
              <w:rPr>
                <w:rFonts w:hint="eastAsia" w:ascii="宋体" w:hAnsi="宋体"/>
                <w:szCs w:val="24"/>
                <w:u w:val="single"/>
              </w:rPr>
              <w:t xml:space="preserve"> </w:t>
            </w:r>
            <w:permEnd w:id="22"/>
            <w:r>
              <w:rPr>
                <w:rFonts w:hint="eastAsia" w:ascii="宋体" w:hAnsi="宋体"/>
                <w:szCs w:val="24"/>
                <w:u w:val="single"/>
              </w:rPr>
              <w:t xml:space="preserve"> </w:t>
            </w:r>
            <w:r>
              <w:rPr>
                <w:rFonts w:hint="eastAsia" w:ascii="黑体" w:hAnsi="宋体" w:eastAsia="黑体"/>
                <w:szCs w:val="24"/>
              </w:rPr>
              <w:t>年</w:t>
            </w:r>
            <w:r>
              <w:rPr>
                <w:rFonts w:hint="eastAsia" w:ascii="宋体" w:hAnsi="宋体"/>
                <w:szCs w:val="24"/>
                <w:u w:val="single"/>
              </w:rPr>
              <w:t xml:space="preserve"> </w:t>
            </w:r>
            <w:permStart w:id="23" w:edGrp="everyone"/>
            <w:r>
              <w:rPr>
                <w:rFonts w:hint="eastAsia" w:ascii="宋体" w:hAnsi="宋体"/>
                <w:szCs w:val="24"/>
                <w:u w:val="single"/>
              </w:rPr>
              <w:t xml:space="preserve"> </w:t>
            </w:r>
            <w:permEnd w:id="23"/>
            <w:r>
              <w:rPr>
                <w:rFonts w:hint="eastAsia" w:ascii="宋体" w:hAnsi="宋体"/>
                <w:szCs w:val="24"/>
                <w:u w:val="single"/>
              </w:rPr>
              <w:t xml:space="preserve"> </w:t>
            </w:r>
            <w:r>
              <w:rPr>
                <w:rFonts w:hint="eastAsia" w:ascii="黑体" w:hAnsi="宋体" w:eastAsia="黑体"/>
                <w:szCs w:val="24"/>
              </w:rPr>
              <w:t>月</w:t>
            </w:r>
            <w:r>
              <w:rPr>
                <w:rFonts w:hint="eastAsia" w:ascii="宋体" w:hAnsi="宋体"/>
                <w:szCs w:val="24"/>
                <w:u w:val="single"/>
              </w:rPr>
              <w:t xml:space="preserve"> </w:t>
            </w:r>
            <w:permStart w:id="24" w:edGrp="everyone"/>
            <w:r>
              <w:rPr>
                <w:rFonts w:hint="eastAsia" w:ascii="宋体" w:hAnsi="宋体"/>
                <w:szCs w:val="24"/>
                <w:u w:val="single"/>
              </w:rPr>
              <w:t xml:space="preserve"> </w:t>
            </w:r>
            <w:permEnd w:id="24"/>
            <w:r>
              <w:rPr>
                <w:rFonts w:hint="eastAsia" w:ascii="宋体" w:hAnsi="宋体"/>
                <w:szCs w:val="24"/>
                <w:u w:val="single"/>
              </w:rPr>
              <w:t xml:space="preserve"> </w:t>
            </w:r>
            <w:r>
              <w:rPr>
                <w:rFonts w:hint="eastAsia" w:ascii="黑体" w:hAnsi="宋体" w:eastAsia="黑体"/>
                <w:szCs w:val="24"/>
              </w:rPr>
              <w:t>日</w:t>
            </w:r>
          </w:p>
          <w:p w14:paraId="698FE26B">
            <w:pPr>
              <w:ind w:firstLine="480"/>
              <w:jc w:val="center"/>
              <w:rPr>
                <w:rFonts w:hint="eastAsia" w:ascii="楷体" w:hAnsi="楷体" w:eastAsia="楷体"/>
              </w:rPr>
            </w:pPr>
          </w:p>
        </w:tc>
      </w:tr>
    </w:tbl>
    <w:p w14:paraId="7C2C33EF">
      <w:pPr>
        <w:keepNext/>
        <w:ind w:firstLine="560"/>
        <w:jc w:val="left"/>
        <w:rPr>
          <w:rFonts w:hint="eastAsia" w:ascii="宋体" w:hAnsi="宋体"/>
          <w:sz w:val="28"/>
        </w:rPr>
      </w:pPr>
    </w:p>
    <w:p w14:paraId="46D16151">
      <w:pPr>
        <w:keepNext/>
        <w:ind w:firstLine="480"/>
        <w:jc w:val="left"/>
        <w:rPr>
          <w:rFonts w:hint="eastAsia" w:ascii="宋体" w:hAnsi="宋体"/>
        </w:rPr>
      </w:pPr>
    </w:p>
    <w:sectPr>
      <w:pgSz w:w="11907" w:h="16840"/>
      <w:pgMar w:top="1304" w:right="1797" w:bottom="567" w:left="1797" w:header="720" w:footer="720" w:gutter="0"/>
      <w:cols w:space="425" w:num="1"/>
      <w:docGrid w:linePitch="27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formatting="1" w:enforcement="0"/>
  <w:defaultTabStop w:val="425"/>
  <w:drawingGridHorizontalSpacing w:val="100"/>
  <w:drawingGridVerticalSpacing w:val="271"/>
  <w:displayHorizontalDrawingGridEvery w:val="2"/>
  <w:characterSpacingControl w:val="compressPunctuation"/>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21022"/>
    <w:rsid w:val="000651DE"/>
    <w:rsid w:val="00080E79"/>
    <w:rsid w:val="0008585D"/>
    <w:rsid w:val="00085923"/>
    <w:rsid w:val="000925E3"/>
    <w:rsid w:val="000B4F99"/>
    <w:rsid w:val="000F31AE"/>
    <w:rsid w:val="00117889"/>
    <w:rsid w:val="00120525"/>
    <w:rsid w:val="00130112"/>
    <w:rsid w:val="00137786"/>
    <w:rsid w:val="001B5BCF"/>
    <w:rsid w:val="001C756F"/>
    <w:rsid w:val="00210A67"/>
    <w:rsid w:val="00214248"/>
    <w:rsid w:val="00217F24"/>
    <w:rsid w:val="00241C7A"/>
    <w:rsid w:val="00287FBB"/>
    <w:rsid w:val="002D4B04"/>
    <w:rsid w:val="002E0484"/>
    <w:rsid w:val="002E2206"/>
    <w:rsid w:val="002E30E8"/>
    <w:rsid w:val="002F323F"/>
    <w:rsid w:val="003043C7"/>
    <w:rsid w:val="00334DA9"/>
    <w:rsid w:val="003750D2"/>
    <w:rsid w:val="00376167"/>
    <w:rsid w:val="003C56B6"/>
    <w:rsid w:val="0042402F"/>
    <w:rsid w:val="00437105"/>
    <w:rsid w:val="004377B6"/>
    <w:rsid w:val="00444EA1"/>
    <w:rsid w:val="004652AE"/>
    <w:rsid w:val="00470EA2"/>
    <w:rsid w:val="004C4082"/>
    <w:rsid w:val="004E6B31"/>
    <w:rsid w:val="005069F4"/>
    <w:rsid w:val="00526A4A"/>
    <w:rsid w:val="00536562"/>
    <w:rsid w:val="00595F24"/>
    <w:rsid w:val="005A1E6B"/>
    <w:rsid w:val="005A3AC1"/>
    <w:rsid w:val="005F5E45"/>
    <w:rsid w:val="006072A1"/>
    <w:rsid w:val="00612E7C"/>
    <w:rsid w:val="00613335"/>
    <w:rsid w:val="006248BE"/>
    <w:rsid w:val="006323E4"/>
    <w:rsid w:val="00641C40"/>
    <w:rsid w:val="00650A3E"/>
    <w:rsid w:val="00675E5F"/>
    <w:rsid w:val="00676ECD"/>
    <w:rsid w:val="006A462B"/>
    <w:rsid w:val="006C543B"/>
    <w:rsid w:val="006D3359"/>
    <w:rsid w:val="00713785"/>
    <w:rsid w:val="00756254"/>
    <w:rsid w:val="007778D0"/>
    <w:rsid w:val="00784DCC"/>
    <w:rsid w:val="007A1F7D"/>
    <w:rsid w:val="007E0AD0"/>
    <w:rsid w:val="007E24ED"/>
    <w:rsid w:val="008046CF"/>
    <w:rsid w:val="00807B2D"/>
    <w:rsid w:val="00832D41"/>
    <w:rsid w:val="00857EAE"/>
    <w:rsid w:val="008C10CC"/>
    <w:rsid w:val="008C1668"/>
    <w:rsid w:val="008D5770"/>
    <w:rsid w:val="008D6CE9"/>
    <w:rsid w:val="008E2049"/>
    <w:rsid w:val="008F5532"/>
    <w:rsid w:val="00901CBB"/>
    <w:rsid w:val="00914070"/>
    <w:rsid w:val="009672BC"/>
    <w:rsid w:val="009B3A33"/>
    <w:rsid w:val="009D1392"/>
    <w:rsid w:val="00A21022"/>
    <w:rsid w:val="00A6161B"/>
    <w:rsid w:val="00AC1881"/>
    <w:rsid w:val="00B20101"/>
    <w:rsid w:val="00B53FED"/>
    <w:rsid w:val="00B63A0C"/>
    <w:rsid w:val="00B750B8"/>
    <w:rsid w:val="00BA2DE5"/>
    <w:rsid w:val="00BB4B8B"/>
    <w:rsid w:val="00BB7EEA"/>
    <w:rsid w:val="00BC507A"/>
    <w:rsid w:val="00BD42B3"/>
    <w:rsid w:val="00BE6DCD"/>
    <w:rsid w:val="00C0575A"/>
    <w:rsid w:val="00C36A7B"/>
    <w:rsid w:val="00C45F8C"/>
    <w:rsid w:val="00C560EC"/>
    <w:rsid w:val="00C83DC4"/>
    <w:rsid w:val="00C97E53"/>
    <w:rsid w:val="00CA5F20"/>
    <w:rsid w:val="00CB3579"/>
    <w:rsid w:val="00D17148"/>
    <w:rsid w:val="00D375B9"/>
    <w:rsid w:val="00D37BFC"/>
    <w:rsid w:val="00D65133"/>
    <w:rsid w:val="00D7319E"/>
    <w:rsid w:val="00D82E2B"/>
    <w:rsid w:val="00DD6F0C"/>
    <w:rsid w:val="00E10282"/>
    <w:rsid w:val="00E40B46"/>
    <w:rsid w:val="00EB10F8"/>
    <w:rsid w:val="00EC5C30"/>
    <w:rsid w:val="00ED0925"/>
    <w:rsid w:val="00EE1E2D"/>
    <w:rsid w:val="00F55D6C"/>
    <w:rsid w:val="00F62FB2"/>
    <w:rsid w:val="00F71C2A"/>
    <w:rsid w:val="00FF7FEA"/>
    <w:rsid w:val="2B0A3E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alloon Text"/>
    <w:basedOn w:val="1"/>
    <w:semiHidden/>
    <w:uiPriority w:val="0"/>
    <w:rPr>
      <w:sz w:val="18"/>
      <w:szCs w:val="18"/>
    </w:rPr>
  </w:style>
  <w:style w:type="paragraph" w:styleId="3">
    <w:name w:val="footer"/>
    <w:basedOn w:val="1"/>
    <w:link w:val="8"/>
    <w:uiPriority w:val="0"/>
    <w:pPr>
      <w:tabs>
        <w:tab w:val="center" w:pos="4153"/>
        <w:tab w:val="right" w:pos="8306"/>
      </w:tabs>
      <w:snapToGrid w:val="0"/>
      <w:jc w:val="left"/>
    </w:pPr>
    <w:rPr>
      <w:sz w:val="18"/>
      <w:szCs w:val="18"/>
    </w:rPr>
  </w:style>
  <w:style w:type="paragraph" w:styleId="4">
    <w:name w:val="header"/>
    <w:basedOn w:val="1"/>
    <w:link w:val="7"/>
    <w:uiPriority w:val="0"/>
    <w:pPr>
      <w:pBdr>
        <w:bottom w:val="single" w:color="auto" w:sz="6" w:space="1"/>
      </w:pBdr>
      <w:tabs>
        <w:tab w:val="center" w:pos="4153"/>
        <w:tab w:val="right" w:pos="8306"/>
      </w:tabs>
      <w:snapToGrid w:val="0"/>
      <w:jc w:val="center"/>
    </w:pPr>
    <w:rPr>
      <w:sz w:val="18"/>
      <w:szCs w:val="18"/>
    </w:rPr>
  </w:style>
  <w:style w:type="character" w:customStyle="1" w:styleId="7">
    <w:name w:val="页眉 Char"/>
    <w:link w:val="4"/>
    <w:uiPriority w:val="0"/>
    <w:rPr>
      <w:kern w:val="2"/>
      <w:sz w:val="18"/>
      <w:szCs w:val="18"/>
    </w:rPr>
  </w:style>
  <w:style w:type="character" w:customStyle="1" w:styleId="8">
    <w:name w:val="页脚 Char"/>
    <w:link w:val="3"/>
    <w:uiPriority w:val="0"/>
    <w:rPr>
      <w:kern w:val="2"/>
      <w:sz w:val="18"/>
      <w:szCs w:val="18"/>
    </w:rPr>
  </w:style>
  <w:style w:type="paragraph" w:customStyle="1" w:styleId="9">
    <w:name w:val="条"/>
    <w:basedOn w:val="1"/>
    <w:uiPriority w:val="0"/>
    <w:pPr>
      <w:snapToGrid w:val="0"/>
      <w:spacing w:before="50" w:beforeLines="50" w:after="50" w:afterLines="50" w:line="300" w:lineRule="auto"/>
    </w:pPr>
    <w:rPr>
      <w:rFonts w:eastAsia="黑体"/>
      <w:sz w:val="28"/>
      <w:szCs w:val="24"/>
    </w:rPr>
  </w:style>
  <w:style w:type="paragraph" w:customStyle="1" w:styleId="10">
    <w:name w:val="正文格式"/>
    <w:basedOn w:val="1"/>
    <w:link w:val="12"/>
    <w:qFormat/>
    <w:uiPriority w:val="0"/>
    <w:pPr>
      <w:spacing w:line="360" w:lineRule="auto"/>
      <w:ind w:firstLine="200" w:firstLineChars="200"/>
    </w:pPr>
    <w:rPr>
      <w:szCs w:val="24"/>
    </w:rPr>
  </w:style>
  <w:style w:type="paragraph" w:customStyle="1" w:styleId="11">
    <w:name w:val="参考文献"/>
    <w:basedOn w:val="1"/>
    <w:link w:val="13"/>
    <w:qFormat/>
    <w:uiPriority w:val="0"/>
    <w:pPr>
      <w:spacing w:line="360" w:lineRule="auto"/>
      <w:ind w:left="420" w:hanging="420"/>
      <w:textAlignment w:val="baseline"/>
    </w:pPr>
    <w:rPr>
      <w:rFonts w:cs="楷体_GB2312"/>
      <w:szCs w:val="24"/>
    </w:rPr>
  </w:style>
  <w:style w:type="character" w:customStyle="1" w:styleId="12">
    <w:name w:val="正文格式 字符"/>
    <w:link w:val="10"/>
    <w:uiPriority w:val="0"/>
    <w:rPr>
      <w:kern w:val="2"/>
      <w:sz w:val="24"/>
      <w:szCs w:val="24"/>
    </w:rPr>
  </w:style>
  <w:style w:type="character" w:customStyle="1" w:styleId="13">
    <w:name w:val="参考文献 字符"/>
    <w:link w:val="11"/>
    <w:uiPriority w:val="0"/>
    <w:rPr>
      <w:rFonts w:cs="楷体_GB2312"/>
      <w:kern w:val="2"/>
      <w:sz w:val="24"/>
      <w:szCs w:val="24"/>
    </w:rPr>
  </w:style>
  <w:style w:type="paragraph" w:customStyle="1" w:styleId="14">
    <w:name w:val="Revision"/>
    <w:hidden/>
    <w:semiHidden/>
    <w:uiPriority w:val="99"/>
    <w:rPr>
      <w:rFonts w:ascii="Times New Roman" w:hAnsi="Times New Roman" w:eastAsia="宋体" w:cs="Times New Roman"/>
      <w:kern w:val="2"/>
      <w:sz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Tongji University</Company>
  <Pages>4</Pages>
  <Words>1304</Words>
  <Characters>1344</Characters>
  <Lines>82</Lines>
  <Paragraphs>45</Paragraphs>
  <TotalTime>5</TotalTime>
  <ScaleCrop>false</ScaleCrop>
  <LinksUpToDate>false</LinksUpToDate>
  <CharactersWithSpaces>1473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2026-09-23T01:24:00Z</dcterms:created>
  <dc:creator>JW112</dc:creator>
  <cp:lastModifiedBy>张卫恒</cp:lastModifiedBy>
  <cp:lastPrinted>2026-05-08T02:40:00Z</cp:lastPrinted>
  <dcterms:modified xsi:type="dcterms:W3CDTF">2026-10-10T00:15:21Z</dcterms:modified>
  <dc:title>附录1</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eyJoZGlkIjoiODQ2ZDc5NWZlNjc1N2YxMjNkYmZlOWYyNzcyODc0ZDgiLCJ1c2VySWQiOiIxNjEyNDcyMTYzIn0=</vt:lpwstr>
  </property>
  <property fmtid="{D5CDD505-2E9C-101B-9397-08002B2CF9AE}" pid="3" name="KSOProductBuildVer">
    <vt:lpwstr>2052-12.1.0.28043</vt:lpwstr>
  </property>
  <property fmtid="{D5CDD505-2E9C-101B-9397-08002B2CF9AE}" pid="4" name="ICV">
    <vt:lpwstr>05BB3062AD024438916626D74C724D95_12</vt:lpwstr>
  </property>
</Properties>
</file>