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黑体"/>
          <w:b/>
          <w:sz w:val="32"/>
        </w:rPr>
        <w:t>PX4水下航行器开题报告·第一节评估与修改理由</w:t>
      </w:r>
    </w:p>
    <w:p>
      <w:pPr>
        <w:spacing w:after="280"/>
        <w:jc w:val="center"/>
      </w:pPr>
      <w:r>
        <w:rPr>
          <w:rFonts w:ascii="Times New Roman" w:hAnsi="Times New Roman" w:eastAsia="宋体"/>
          <w:color w:val="5A6169"/>
          <w:sz w:val="19"/>
        </w:rPr>
        <w:t>评估范围： “1．课题来源及研究的目的和意义”｜以原始学校模板为格式依据</w:t>
      </w:r>
    </w:p>
    <w:p>
      <w:pPr>
        <w:keepNext/>
        <w:spacing w:before="280" w:after="120"/>
      </w:pPr>
      <w:r>
        <w:rPr>
          <w:rFonts w:ascii="Arial" w:hAnsi="Arial" w:eastAsia="黑体"/>
          <w:b/>
          <w:sz w:val="26"/>
        </w:rPr>
        <w:t>一、评估结论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总体评价：研究对象（八推进器水下航行器）、控制方法（MPC）与验证平台（PX4）相互关联，技术问题具有针对性；但原文存在课题“来源”未明说、政策铺垫偏长、关键技术论证挤在同一段、PX4现状判断过度绝对，以及研究目标缺少可验证指标等问题。建议保留核心方向，将原三段调整为“需求与来源—对象及约束—现有方法与平台缺口—目标及意义”四段。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边界说明：“研究切入点源于巡检需求”是可以根据现有材料写明的研究动因；至于行政意义上的来源（导师科研项目、企业委托、校级课题或自主选题），上传文件没有提供，不能代拟为某个具体项目。</w:t>
      </w:r>
    </w:p>
    <w:p>
      <w:pPr>
        <w:keepNext/>
        <w:spacing w:before="280" w:after="120"/>
      </w:pPr>
      <w:r>
        <w:rPr>
          <w:rFonts w:ascii="Arial" w:hAnsi="Arial" w:eastAsia="黑体"/>
          <w:b/>
          <w:sz w:val="26"/>
        </w:rPr>
        <w:t>二、与另外两份开题报告的比较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  <w:tblHeader w:val="true"/>
        </w:trPr>
        <w:tc>
          <w:tcPr>
            <w:tcW w:type="dxa" w:w="1191"/>
            <w:shd w:fill="E8EEF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评价维度</w:t>
            </w:r>
          </w:p>
        </w:tc>
        <w:tc>
          <w:tcPr>
            <w:tcW w:type="dxa" w:w="2353"/>
            <w:shd w:fill="E8EEF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双轮足机器人报告</w:t>
            </w:r>
          </w:p>
        </w:tc>
        <w:tc>
          <w:tcPr>
            <w:tcW w:type="dxa" w:w="2353"/>
            <w:shd w:fill="E8EEF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振动碾压机器人报告</w:t>
            </w:r>
          </w:p>
        </w:tc>
        <w:tc>
          <w:tcPr>
            <w:tcW w:type="dxa" w:w="2891"/>
            <w:shd w:fill="E8EEF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PX4报告及处理方向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背景到需求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从机器人发展和轮足构型转入控制成本与实时性，技术线索较完整；开篇宏观表述偏多。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从智慧工地进入碾压精度，再落到时变侧滑，工程痛点传导最清楚。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已有水下巡检场景，但政策句与宏观判断占比过高；改为政策一句、场景和控制需求为主。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课题来源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说明结构选型与轻量级控制的研究动因，但未写明行政项目来源。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紧扣复杂施工介质中的侧滑难题，需求来源明确；未写明行政项目来源。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补充“基于近壁巡检运动控制需求提出”；若有实际委托项目，仍应据实补充。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技术矛盾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对比WBC、MPC、RL计算代价，引向轻量级LQR–VMC–QP。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按照“侧滑机理—估计难点—自适应纠偏”逐级展开。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附加质量、动力学耦合、推进器约束、控制分配均具体，但堆于第二段；分为对象/机理与方法/平台两段。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方案选择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结尾给出拟采用方法，但“避开重路线”口语化。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交代建模、侧滑角预测及控制算法如何衔接。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说明PID与MPC的条件性比较，明确模型、约束控制、PX4适配和闭环验证的因果关系。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研究意义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有结构性能和实时部署价值，但“显著降低”属待验证结果。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理论意义对应状态估计与鲁棒控制，工程意义对应作业精度。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区分理论上的控制性能权衡与工程上的PX4可复现验证，避免承诺直接实现低成本无人化巡检。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措辞与证据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个别绝对表达与泛化值得收敛。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具体性强，但“严重退化”等表述宜依文献适度限定。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尤其须修正“紧凑型多采用八推进器”“PX4无闭环验证支持”等缺证断言，并完善文献表。</w:t>
            </w:r>
          </w:p>
        </w:tc>
      </w:tr>
    </w:tbl>
    <w:p>
      <w:pPr>
        <w:keepNext/>
        <w:spacing w:before="280" w:after="120"/>
      </w:pPr>
      <w:r>
        <w:rPr>
          <w:rFonts w:ascii="Arial" w:hAnsi="Arial" w:eastAsia="黑体"/>
          <w:b/>
          <w:sz w:val="26"/>
        </w:rPr>
        <w:t>三、原文各段应有功能与完成度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原第1段｜课题来源与现实意义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基本实现宏观背景、政策背景和巡检需求的说明；但未明确课题的实际来源，且前半段政策论述过密、后半段“从根本上摆脱”等结论过满。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原第2段｜研究问题的提出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技术障碍识别较充分：六自由度水动力耦合、推进器约束及控制方法限制皆有交代；但将机理、PID/MPC、PX4平台不足合并成超长段落，且有与PX4官方现状不符的绝对表述。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原第3段｜研究目的和意义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形成了研究对象—方法—平台与理论/工程价值的基本框架；但目标仍是抽象的“研究、探索”，缺少如何验证、比较哪些指标，工程意义表述接近最终效果承诺。</w:t>
      </w:r>
    </w:p>
    <w:p>
      <w:pPr>
        <w:keepNext/>
        <w:spacing w:before="280" w:after="120"/>
      </w:pPr>
      <w:r>
        <w:rPr>
          <w:rFonts w:ascii="Arial" w:hAnsi="Arial" w:eastAsia="黑体"/>
          <w:b/>
          <w:sz w:val="26"/>
        </w:rPr>
        <w:t>四、逐项修改内容及理由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M01 压缩政策叙述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将宏观战略与政策导向改为两份政策支持的“水下特种机器人”和“能源设施巡检/维护”两条直接相关事实；减少政策联名部门、笼统“新质生产力”与“重大部署”堆叠。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M02 补齐“来源”的工程逻辑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新增“基于近壁巡检运动控制需求，本课题……作为研究切入点”。只陈述从现有材料能够确认的需求牵引，不凭空指定导师或企业项目。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M03 控制应用场景收口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将“保障全生命周期安全运行”等过强宏大结论缩为“近距离观测的稳定性”，明确课题直接解决的是悬停、姿态与轨迹跟踪，不把单项控制研究写成完整巡检系统。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M04 规范对象范围与术语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把“紧凑型航行器多采用八推进器”改为“采用空间矢量布局的八推进器航行器”；不作行业构型普遍性的无证判断，并明确ROV为遥控式水下机器人。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M05 调整技术问题表述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用“速度相关水动力阻尼、静水恢复力矩、外部水流扰动”替代语义不够稳妥的“高阶非线性阻尼”等表达；将饱和和推力分配偏差写为条件性后果。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M06 分出方法与平台段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PID与MPC的取舍放到独立段落，使读者先理解动力学和执行器问题，再理解为什么选择MPC，最后理解PX4集成问题。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M07 修正PX4事实断言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PX4官方文档已明确提供BlueROV2 Heavy八推进器构型的实验性支持，并列出Manual、Stabilized、Acro、Altitude和Position等模式；因此删除“主要面向传统无模型PID”“缺乏闭环验证支持”的笼统否定，改为“面向本研究的受约束MPC与推力分配仍需适配和验证”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M08 研究目标可执行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由笼统“研究方法并探索集成”细化为控制模型、带约束MPC、PX4相关闭环验证三项相互衔接的工作；这些是“拟开展”，不是已实现。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M09 增加可检查指标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增写与PID的对比以及轨迹误差、悬停波动、饱和情况、单次求解耗时等评测指标，使目的与方案、结题验收形成对应。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M10 区分理论与工程意义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理论层面定位在耦合、约束与实时性间的设计权衡；工程层面定位为可复现的PX4验证流程，删除缺乏实验支撑的“切实可行”“标准化工业级”“无人化低成本”成果承诺。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M11 保持模板版式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主修订稿直接继承所上传PX4原文档，保留封面、学校标识、标题编号、宋体正文、Times New Roman西文字体、小四字、1.5倍行距、首行缩进及其他章节空栏。黄色仅用于新增/替换文字，删除文本使用删除线。</w:t>
      </w:r>
    </w:p>
    <w:p>
      <w:pPr>
        <w:keepNext/>
        <w:spacing w:before="200" w:after="120"/>
      </w:pPr>
      <w:r>
        <w:rPr>
          <w:rFonts w:ascii="Arial" w:hAnsi="Arial" w:eastAsia="黑体"/>
          <w:b/>
          <w:sz w:val="22"/>
        </w:rPr>
        <w:t>M12 补齐来源与证据后再提交</w:t>
      </w:r>
    </w:p>
    <w:p>
      <w:pPr>
        <w:spacing w:before="20" w:after="100" w:line="324" w:lineRule="auto"/>
        <w:ind w:firstLine="403"/>
      </w:pPr>
      <w:r>
        <w:rPr>
          <w:rFonts w:ascii="Times New Roman" w:hAnsi="Times New Roman" w:eastAsia="宋体"/>
          <w:sz w:val="21"/>
        </w:rPr>
        <w:t>当前“主要参考文献”部分仍为空，但正文含[1]—[3]；正式定稿应补录与原引文一致的真实文献，并为PX4平台现状增加官方文档来源。实际课题来源及部署的PX4版本也需确认；官网main开发文档会变化，正式引用须注明对应版本和访问日期。</w:t>
      </w:r>
    </w:p>
    <w:p>
      <w:pPr>
        <w:keepNext/>
        <w:spacing w:before="280" w:after="120"/>
      </w:pPr>
      <w:r>
        <w:rPr>
          <w:rFonts w:ascii="Arial" w:hAnsi="Arial" w:eastAsia="黑体"/>
          <w:b/>
          <w:sz w:val="26"/>
        </w:rPr>
        <w:t>五、参考资料与提交前核对项</w:t>
      </w:r>
    </w:p>
    <w:p>
      <w:pPr>
        <w:spacing w:after="80" w:line="312" w:lineRule="auto"/>
      </w:pPr>
      <w:r>
        <w:rPr>
          <w:rFonts w:ascii="Times New Roman" w:hAnsi="Times New Roman" w:eastAsia="宋体"/>
          <w:sz w:val="18"/>
        </w:rPr>
        <w:t>[1] 工业和信息化部等. “十四五”机器人产业发展规划[Z]. 2021. https://www.miit.gov.cn/zwgk/zcwj/wjfb/tz/art/2021/art_14c785d5a1124f75900363a0f45d9bbe.html</w:t>
      </w:r>
    </w:p>
    <w:p>
      <w:pPr>
        <w:spacing w:after="80" w:line="312" w:lineRule="auto"/>
      </w:pPr>
      <w:r>
        <w:rPr>
          <w:rFonts w:ascii="Times New Roman" w:hAnsi="Times New Roman" w:eastAsia="宋体"/>
          <w:sz w:val="18"/>
        </w:rPr>
        <w:t>[2] 工业和信息化部等十七部门. “机器人+”应用行动实施方案[Z]. 2023. https://www.gov.cn/zhengce/zhengceku/2023-01/19/5738112/files/61a45b6de7f34f4197c4d6fe1b9106fb.pdf</w:t>
      </w:r>
    </w:p>
    <w:p>
      <w:pPr>
        <w:spacing w:after="80" w:line="312" w:lineRule="auto"/>
      </w:pPr>
      <w:r>
        <w:rPr>
          <w:rFonts w:ascii="Times New Roman" w:hAnsi="Times New Roman" w:eastAsia="宋体"/>
          <w:sz w:val="18"/>
        </w:rPr>
        <w:t>[3] FOSSEN T I. Handbook of Marine Craft Hydrodynamics and Motion Control[M]. 2nd ed. Wiley, 2021. DOI: 10.1002/9781119575016.</w:t>
      </w:r>
    </w:p>
    <w:p>
      <w:pPr>
        <w:spacing w:after="80" w:line="312" w:lineRule="auto"/>
      </w:pPr>
      <w:r>
        <w:rPr>
          <w:rFonts w:ascii="Times New Roman" w:hAnsi="Times New Roman" w:eastAsia="宋体"/>
          <w:sz w:val="18"/>
        </w:rPr>
        <w:t>[补充] PX4 Development Team. Submarines (Unmanned Underwater Vehicles—UUV) [EB/OL]. https://docs.px4.io/main/en/frames_sub/index</w:t>
      </w:r>
    </w:p>
    <w:p>
      <w:pPr>
        <w:spacing w:after="80" w:line="312" w:lineRule="auto"/>
      </w:pPr>
      <w:r>
        <w:rPr>
          <w:rFonts w:ascii="Times New Roman" w:hAnsi="Times New Roman" w:eastAsia="宋体"/>
          <w:sz w:val="18"/>
        </w:rPr>
        <w:t>[补充] PX4 Development Team. BlueROV2 (UUV) [EB/OL]. https://docs.px4.io/main/en/frames_sub/bluerov2</w:t>
      </w:r>
    </w:p>
    <w:sectPr w:rsidR="00FC693F" w:rsidRPr="0006063C" w:rsidSect="00034616">
      <w:pgSz w:w="11906" w:h="16838"/>
      <w:pgMar w:top="1276" w:right="1332" w:bottom="1191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