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jc w:val="center"/>
      </w:pPr>
      <w:r>
        <w:rPr>
          <w:rFonts w:ascii="Times New Roman" w:hAnsi="Times New Roman" w:eastAsia="黑体"/>
          <w:b/>
          <w:sz w:val="32"/>
        </w:rPr>
        <w:t>PX4开题报告第2节对比评估与修改说明</w:t>
      </w:r>
    </w:p>
    <w:p>
      <w:pPr>
        <w:spacing w:line="360" w:lineRule="auto" w:before="180" w:after="180"/>
        <w:ind w:firstLine="0"/>
      </w:pPr>
      <w:r>
        <w:rPr>
          <w:rFonts w:ascii="Times New Roman" w:hAnsi="Times New Roman" w:eastAsia="宋体"/>
          <w:b w:val="0"/>
          <w:sz w:val="24"/>
        </w:rPr>
        <w:t>评估范围：〈基于PX4的水下航行器模型控制方法研究〉中“2．国内外在该方向的研究现状和发展趋势”及其2.1—2.4子节。对照材料为所提供的混合式双轮足机器人报告、时变侧滑补偿的振动碾压机器人报告及同济大学开题报告空白模板。</w:t>
      </w:r>
    </w:p>
    <w:p>
      <w:pPr>
        <w:keepNext/>
        <w:spacing w:line="360" w:lineRule="auto" w:before="240" w:after="240"/>
        <w:ind w:firstLine="0"/>
      </w:pPr>
      <w:r>
        <w:rPr>
          <w:rFonts w:ascii="Times New Roman" w:hAnsi="Times New Roman" w:eastAsia="黑体"/>
          <w:b/>
          <w:sz w:val="28"/>
        </w:rPr>
        <w:t>一、该节在开题报告中的功能与边界</w:t>
      </w:r>
    </w:p>
    <w:p>
      <w:pPr>
        <w:spacing w:line="360" w:lineRule="auto" w:before="180" w:after="180"/>
        <w:ind w:firstLine="480"/>
      </w:pPr>
      <w:r>
        <w:rPr>
          <w:rFonts w:ascii="Times New Roman" w:hAnsi="Times New Roman" w:eastAsia="宋体"/>
          <w:b w:val="0"/>
          <w:sz w:val="24"/>
        </w:rPr>
        <w:t>本节应回答“已有研究达到何种水平、采用哪些代表性技术路线、不同路线的适用条件与证据局限是什么、为什么仍存在与本课题直接相关的研究问题”。其产出应是由文献支撑的研究问题定位，而非本课题的具体实施步骤。</w:t>
      </w:r>
    </w:p>
    <w:p>
      <w:pPr>
        <w:spacing w:line="360" w:lineRule="auto" w:before="180" w:after="180"/>
        <w:ind w:firstLine="480"/>
      </w:pPr>
      <w:r>
        <w:rPr>
          <w:rFonts w:ascii="Times New Roman" w:hAnsi="Times New Roman" w:eastAsia="宋体"/>
          <w:b w:val="0"/>
          <w:sz w:val="24"/>
        </w:rPr>
        <w:t>与第一部分（课题来源、目的和意义）的关系是“由现实需求转入学术与技术证据”：前者解释为什么值得研究，后者解释已有方法何以尚不能完全回答目标场景的问题。与第二大部分（主要研究内容、研究方案、进度）的关系是“先界定问题，再提出方案”：此处说明研究空白和可比维度，后文应给出模型、算法、接口、试验及指标的可操作设计。</w:t>
      </w:r>
    </w:p>
    <w:p>
      <w:pPr>
        <w:spacing w:line="360" w:lineRule="auto" w:before="180" w:after="180"/>
        <w:ind w:firstLine="480"/>
      </w:pPr>
      <w:r>
        <w:rPr>
          <w:rFonts w:ascii="Times New Roman" w:hAnsi="Times New Roman" w:eastAsia="宋体"/>
          <w:b w:val="0"/>
          <w:sz w:val="24"/>
        </w:rPr>
        <w:t>理想的组织链条为：总领研究范围和评价维度 → 动力学模型与参数依据 → 受约束控制和推力分配 → PX4平台的已实现能力与闭环验证 → 发展趋势、证据缺口与本课题研究问题。国内外研究可按技术问题交叉比较，不必机械分成“国内”和“国外”两组，但应明确代表成果的对象、方法与结论。</w:t>
      </w:r>
    </w:p>
    <w:p>
      <w:pPr>
        <w:keepNext/>
        <w:spacing w:line="360" w:lineRule="auto" w:before="240" w:after="240"/>
        <w:ind w:firstLine="0"/>
      </w:pPr>
      <w:r>
        <w:rPr>
          <w:rFonts w:ascii="Times New Roman" w:hAnsi="Times New Roman" w:eastAsia="黑体"/>
          <w:b/>
          <w:sz w:val="28"/>
        </w:rPr>
        <w:t>二、与另外两份报告的横向比较</w:t>
      </w:r>
    </w:p>
    <w:p>
      <w:pPr>
        <w:keepNext/>
        <w:spacing w:line="360" w:lineRule="auto" w:before="240" w:after="240"/>
        <w:ind w:firstLine="0"/>
      </w:pPr>
      <w:r>
        <w:rPr>
          <w:rFonts w:ascii="Times New Roman" w:hAnsi="Times New Roman" w:eastAsia="黑体"/>
          <w:b/>
          <w:sz w:val="24"/>
        </w:rPr>
        <w:t>混合式双轮足机器人报告（另一参考稿）</w:t>
      </w:r>
    </w:p>
    <w:p>
      <w:pPr>
        <w:spacing w:line="360" w:lineRule="auto" w:before="180" w:after="180"/>
        <w:ind w:firstLine="480"/>
      </w:pPr>
      <w:r>
        <w:rPr>
          <w:rFonts w:ascii="Times New Roman" w:hAnsi="Times New Roman" w:eastAsia="宋体"/>
          <w:b w:val="0"/>
          <w:sz w:val="24"/>
        </w:rPr>
        <w:t>优势：按串联、并联、混合构型及不同控制策略系统分层；引用Handle、Ascento、Ollie、HotWheel等具体案例，可直观看到技术差异。</w:t>
      </w:r>
    </w:p>
    <w:p>
      <w:pPr>
        <w:spacing w:line="360" w:lineRule="auto" w:before="180" w:after="180"/>
        <w:ind w:firstLine="480"/>
      </w:pPr>
      <w:r>
        <w:rPr>
          <w:rFonts w:ascii="Times New Roman" w:hAnsi="Times New Roman" w:eastAsia="宋体"/>
          <w:b w:val="0"/>
          <w:sz w:val="24"/>
        </w:rPr>
        <w:t>局限：部分文字存在“惊人”“完美”“标杆”“更具前景”等评价性或宣传式用语，部分文献按年代串联但缺乏直接比较。PX4稿不宜模仿其措辞，应保留其分类清晰、案例具体的优点。</w:t>
      </w:r>
    </w:p>
    <w:p>
      <w:pPr>
        <w:keepNext/>
        <w:spacing w:line="360" w:lineRule="auto" w:before="240" w:after="240"/>
        <w:ind w:firstLine="0"/>
      </w:pPr>
      <w:r>
        <w:rPr>
          <w:rFonts w:ascii="Times New Roman" w:hAnsi="Times New Roman" w:eastAsia="黑体"/>
          <w:b/>
          <w:sz w:val="24"/>
        </w:rPr>
        <w:t>时变侧滑补偿的振动碾压机器人报告（另一参考稿）</w:t>
      </w:r>
    </w:p>
    <w:p>
      <w:pPr>
        <w:spacing w:line="360" w:lineRule="auto" w:before="180" w:after="180"/>
        <w:ind w:firstLine="480"/>
      </w:pPr>
      <w:r>
        <w:rPr>
          <w:rFonts w:ascii="Times New Roman" w:hAnsi="Times New Roman" w:eastAsia="宋体"/>
          <w:b w:val="0"/>
          <w:sz w:val="24"/>
        </w:rPr>
        <w:t>优势：沿“路径跟踪控制—侧滑感知—具体工况与研究切入点”逐步缩小问题范围，结尾与后续建模、估计、控制、联合仿真方案衔接明确。</w:t>
      </w:r>
    </w:p>
    <w:p>
      <w:pPr>
        <w:spacing w:line="360" w:lineRule="auto" w:before="180" w:after="180"/>
        <w:ind w:firstLine="480"/>
      </w:pPr>
      <w:r>
        <w:rPr>
          <w:rFonts w:ascii="Times New Roman" w:hAnsi="Times New Roman" w:eastAsia="宋体"/>
          <w:b w:val="0"/>
          <w:sz w:val="24"/>
        </w:rPr>
        <w:t>局限：个别段落重复讨论MPC或过早出现“本研究主要采用SVR”，也有“从根本上”“急剧下降”等较强断言。PX4稿可借鉴其问题收束方式，但不应在综述中提前替代研究方案。</w:t>
      </w:r>
    </w:p>
    <w:p>
      <w:pPr>
        <w:keepNext/>
        <w:spacing w:line="360" w:lineRule="auto" w:before="240" w:after="240"/>
        <w:ind w:firstLine="0"/>
      </w:pPr>
      <w:r>
        <w:rPr>
          <w:rFonts w:ascii="Times New Roman" w:hAnsi="Times New Roman" w:eastAsia="黑体"/>
          <w:b/>
          <w:sz w:val="24"/>
        </w:rPr>
        <w:t>PX4稿自身</w:t>
      </w:r>
    </w:p>
    <w:p>
      <w:pPr>
        <w:spacing w:line="360" w:lineRule="auto" w:before="180" w:after="180"/>
        <w:ind w:firstLine="480"/>
      </w:pPr>
      <w:r>
        <w:rPr>
          <w:rFonts w:ascii="Times New Roman" w:hAnsi="Times New Roman" w:eastAsia="宋体"/>
          <w:b w:val="0"/>
          <w:sz w:val="24"/>
        </w:rPr>
        <w:t>优势：覆盖模型、控制/分配和软件验证三层，引用国内外代表成果和技术文档，能够辨别通用方法与具体平台验证之间的证据差异，整体论述相对审慎。</w:t>
      </w:r>
    </w:p>
    <w:p>
      <w:pPr>
        <w:spacing w:line="360" w:lineRule="auto" w:before="180" w:after="180"/>
        <w:ind w:firstLine="480"/>
      </w:pPr>
      <w:r>
        <w:rPr>
          <w:rFonts w:ascii="Times New Roman" w:hAnsi="Times New Roman" w:eastAsia="宋体"/>
          <w:b w:val="0"/>
          <w:sz w:val="24"/>
        </w:rPr>
        <w:t>需修改：总领语言偏提纲式；若干论文仅罗列而未充分形成对象/约束/结果对照；2.4重复性偏高；2.1—2.4小标题在原文件中虽有黑体字形却使用正文缩进，需调整为顶格层级标题。</w:t>
      </w:r>
    </w:p>
    <w:p>
      <w:pPr>
        <w:keepNext/>
        <w:spacing w:line="360" w:lineRule="auto" w:before="240" w:after="240"/>
        <w:ind w:firstLine="0"/>
      </w:pPr>
      <w:r>
        <w:rPr>
          <w:rFonts w:ascii="Times New Roman" w:hAnsi="Times New Roman" w:eastAsia="黑体"/>
          <w:b/>
          <w:sz w:val="28"/>
        </w:rPr>
        <w:t>三、逐段功能检查与修改原因</w:t>
      </w:r>
    </w:p>
    <w:p>
      <w:pPr>
        <w:keepNext/>
        <w:spacing w:line="360" w:lineRule="auto" w:before="240" w:after="240"/>
        <w:ind w:firstLine="0"/>
      </w:pPr>
      <w:r>
        <w:rPr>
          <w:rFonts w:ascii="Times New Roman" w:hAnsi="Times New Roman" w:eastAsia="黑体"/>
          <w:b/>
          <w:sz w:val="24"/>
        </w:rPr>
        <w:t>1. 总领段（第22段）</w:t>
      </w:r>
    </w:p>
    <w:p>
      <w:pPr>
        <w:spacing w:line="360" w:lineRule="auto" w:before="180" w:after="180"/>
        <w:ind w:firstLine="480"/>
      </w:pPr>
      <w:r>
        <w:rPr>
          <w:rFonts w:ascii="Times New Roman" w:hAnsi="Times New Roman" w:eastAsia="宋体"/>
          <w:b w:val="0"/>
          <w:sz w:val="24"/>
        </w:rPr>
        <w:t>应承担的功能：完成度：部分完成；功能：界定综述对象、主题和评价顺序。</w:t>
      </w:r>
    </w:p>
    <w:p>
      <w:pPr>
        <w:spacing w:line="360" w:lineRule="auto" w:before="180" w:after="180"/>
        <w:ind w:firstLine="480"/>
      </w:pPr>
      <w:r>
        <w:rPr>
          <w:rFonts w:ascii="Times New Roman" w:hAnsi="Times New Roman" w:eastAsia="宋体"/>
          <w:b w:val="0"/>
          <w:sz w:val="24"/>
        </w:rPr>
        <w:t>评估与修改原因：原文已有“模型—控制—验证”框架，但“三者分别回答”属于写作提示式表达；改成学术叙述中的因果关系，并交代后续比较维度。</w:t>
      </w:r>
    </w:p>
    <w:p>
      <w:pPr>
        <w:keepNext/>
        <w:spacing w:line="360" w:lineRule="auto" w:before="240" w:after="240"/>
        <w:ind w:firstLine="0"/>
      </w:pPr>
      <w:r>
        <w:rPr>
          <w:rFonts w:ascii="Times New Roman" w:hAnsi="Times New Roman" w:eastAsia="黑体"/>
          <w:b/>
          <w:sz w:val="24"/>
        </w:rPr>
        <w:t>2. 2.1引入段（第24段）</w:t>
      </w:r>
    </w:p>
    <w:p>
      <w:pPr>
        <w:spacing w:line="360" w:lineRule="auto" w:before="180" w:after="180"/>
        <w:ind w:firstLine="480"/>
      </w:pPr>
      <w:r>
        <w:rPr>
          <w:rFonts w:ascii="Times New Roman" w:hAnsi="Times New Roman" w:eastAsia="宋体"/>
          <w:b w:val="0"/>
          <w:sz w:val="24"/>
        </w:rPr>
        <w:t>应承担的功能：完成度：基本完成；功能：确定动力学研究的关键问题和评价标准。</w:t>
      </w:r>
    </w:p>
    <w:p>
      <w:pPr>
        <w:spacing w:line="360" w:lineRule="auto" w:before="180" w:after="180"/>
        <w:ind w:firstLine="480"/>
      </w:pPr>
      <w:r>
        <w:rPr>
          <w:rFonts w:ascii="Times New Roman" w:hAnsi="Times New Roman" w:eastAsia="宋体"/>
          <w:b w:val="0"/>
          <w:sz w:val="24"/>
        </w:rPr>
        <w:t>评估与修改原因：原文以基础知识说明为主，与后续文献比较之间过渡稍弱；调整为“状态预测需求—主要模型项—方法路径—评价维度”，强化对MPC的支撑作用。</w:t>
      </w:r>
    </w:p>
    <w:p>
      <w:pPr>
        <w:keepNext/>
        <w:spacing w:line="360" w:lineRule="auto" w:before="240" w:after="240"/>
        <w:ind w:firstLine="0"/>
      </w:pPr>
      <w:r>
        <w:rPr>
          <w:rFonts w:ascii="Times New Roman" w:hAnsi="Times New Roman" w:eastAsia="黑体"/>
          <w:b/>
          <w:sz w:val="24"/>
        </w:rPr>
        <w:t>3. 2.1机理建模（第25段）</w:t>
      </w:r>
    </w:p>
    <w:p>
      <w:pPr>
        <w:spacing w:line="360" w:lineRule="auto" w:before="180" w:after="180"/>
        <w:ind w:firstLine="480"/>
      </w:pPr>
      <w:r>
        <w:rPr>
          <w:rFonts w:ascii="Times New Roman" w:hAnsi="Times New Roman" w:eastAsia="宋体"/>
          <w:b w:val="0"/>
          <w:sz w:val="24"/>
        </w:rPr>
        <w:t>应承担的功能：完成度：基本完成；功能：说明通用模型、具体对象研究及其可迁移边界。</w:t>
      </w:r>
    </w:p>
    <w:p>
      <w:pPr>
        <w:spacing w:line="360" w:lineRule="auto" w:before="180" w:after="180"/>
        <w:ind w:firstLine="480"/>
      </w:pPr>
      <w:r>
        <w:rPr>
          <w:rFonts w:ascii="Times New Roman" w:hAnsi="Times New Roman" w:eastAsia="宋体"/>
          <w:b w:val="0"/>
          <w:sz w:val="24"/>
        </w:rPr>
        <w:t>评估与修改原因：原稿援引[5]—[10]的对象丰富，但后半部分把文献结论、工程判断与本课题需求混写；修改后并列比较通用六自由度框架、REMUS、开架式平台及BlueROV2。</w:t>
      </w:r>
    </w:p>
    <w:p>
      <w:pPr>
        <w:keepNext/>
        <w:spacing w:line="360" w:lineRule="auto" w:before="240" w:after="240"/>
        <w:ind w:firstLine="0"/>
      </w:pPr>
      <w:r>
        <w:rPr>
          <w:rFonts w:ascii="Times New Roman" w:hAnsi="Times New Roman" w:eastAsia="黑体"/>
          <w:b/>
          <w:sz w:val="24"/>
        </w:rPr>
        <w:t>4. 2.1参数获取（第26段）</w:t>
      </w:r>
    </w:p>
    <w:p>
      <w:pPr>
        <w:spacing w:line="360" w:lineRule="auto" w:before="180" w:after="180"/>
        <w:ind w:firstLine="480"/>
      </w:pPr>
      <w:r>
        <w:rPr>
          <w:rFonts w:ascii="Times New Roman" w:hAnsi="Times New Roman" w:eastAsia="宋体"/>
          <w:b w:val="0"/>
          <w:sz w:val="24"/>
        </w:rPr>
        <w:t>应承担的功能：完成度：基本完成；功能：比较数值计算与试验辨识的适用条件。</w:t>
      </w:r>
    </w:p>
    <w:p>
      <w:pPr>
        <w:spacing w:line="360" w:lineRule="auto" w:before="180" w:after="180"/>
        <w:ind w:firstLine="480"/>
      </w:pPr>
      <w:r>
        <w:rPr>
          <w:rFonts w:ascii="Times New Roman" w:hAnsi="Times New Roman" w:eastAsia="宋体"/>
          <w:b w:val="0"/>
          <w:sz w:val="24"/>
        </w:rPr>
        <w:t>评估与修改原因：改为逐项说明代表作者使用的参数获取方法，突出边界条件、试验激励覆盖与测量质量对模型效果的影响；小结落到预测误差，而非参数数量。</w:t>
      </w:r>
    </w:p>
    <w:p>
      <w:pPr>
        <w:keepNext/>
        <w:spacing w:line="360" w:lineRule="auto" w:before="240" w:after="240"/>
        <w:ind w:firstLine="0"/>
      </w:pPr>
      <w:r>
        <w:rPr>
          <w:rFonts w:ascii="Times New Roman" w:hAnsi="Times New Roman" w:eastAsia="黑体"/>
          <w:b/>
          <w:sz w:val="24"/>
        </w:rPr>
        <w:t>5. 2.1数据辅助修正（第27段）</w:t>
      </w:r>
    </w:p>
    <w:p>
      <w:pPr>
        <w:spacing w:line="360" w:lineRule="auto" w:before="180" w:after="180"/>
        <w:ind w:firstLine="480"/>
      </w:pPr>
      <w:r>
        <w:rPr>
          <w:rFonts w:ascii="Times New Roman" w:hAnsi="Times New Roman" w:eastAsia="宋体"/>
          <w:b w:val="0"/>
          <w:sz w:val="24"/>
        </w:rPr>
        <w:t>应承担的功能：完成度：部分完成；功能：交代数据方法对机理模型的补充价值及证据等级。</w:t>
      </w:r>
    </w:p>
    <w:p>
      <w:pPr>
        <w:spacing w:line="360" w:lineRule="auto" w:before="180" w:after="180"/>
        <w:ind w:firstLine="480"/>
      </w:pPr>
      <w:r>
        <w:rPr>
          <w:rFonts w:ascii="Times New Roman" w:hAnsi="Times New Roman" w:eastAsia="宋体"/>
          <w:b w:val="0"/>
          <w:sz w:val="24"/>
        </w:rPr>
        <w:t>评估与修改原因：通用稀疏辨识、物理信息学习和神经常微分方程与本课题目标构型并非直接对应；保留[16]—[19]而缩减技术铺陈，明确“方法借鉴≠平台验证”。</w:t>
      </w:r>
    </w:p>
    <w:p>
      <w:pPr>
        <w:keepNext/>
        <w:spacing w:line="360" w:lineRule="auto" w:before="240" w:after="240"/>
        <w:ind w:firstLine="0"/>
      </w:pPr>
      <w:r>
        <w:rPr>
          <w:rFonts w:ascii="Times New Roman" w:hAnsi="Times New Roman" w:eastAsia="黑体"/>
          <w:b/>
          <w:sz w:val="24"/>
        </w:rPr>
        <w:t>6. 2.1小结（第28段）</w:t>
      </w:r>
    </w:p>
    <w:p>
      <w:pPr>
        <w:spacing w:line="360" w:lineRule="auto" w:before="180" w:after="180"/>
        <w:ind w:firstLine="480"/>
      </w:pPr>
      <w:r>
        <w:rPr>
          <w:rFonts w:ascii="Times New Roman" w:hAnsi="Times New Roman" w:eastAsia="宋体"/>
          <w:b w:val="0"/>
          <w:sz w:val="24"/>
        </w:rPr>
        <w:t>应承担的功能：完成度：部分完成；功能：形成建模方向的文献归纳及问题边界。</w:t>
      </w:r>
    </w:p>
    <w:p>
      <w:pPr>
        <w:spacing w:line="360" w:lineRule="auto" w:before="180" w:after="180"/>
        <w:ind w:firstLine="480"/>
      </w:pPr>
      <w:r>
        <w:rPr>
          <w:rFonts w:ascii="Times New Roman" w:hAnsi="Times New Roman" w:eastAsia="宋体"/>
          <w:b w:val="0"/>
          <w:sz w:val="24"/>
        </w:rPr>
        <w:t>评估与修改原因：原文“本课题需要进一步判断”偏研究任务罗列；修改为“现有证据尚不足以确认目标构型模型复杂度”，由文献局限自然过渡到研究问题。</w:t>
      </w:r>
    </w:p>
    <w:p>
      <w:pPr>
        <w:keepNext/>
        <w:spacing w:line="360" w:lineRule="auto" w:before="240" w:after="240"/>
        <w:ind w:firstLine="0"/>
      </w:pPr>
      <w:r>
        <w:rPr>
          <w:rFonts w:ascii="Times New Roman" w:hAnsi="Times New Roman" w:eastAsia="黑体"/>
          <w:b/>
          <w:sz w:val="24"/>
        </w:rPr>
        <w:t>7. 2.2引入段（第30段）</w:t>
      </w:r>
    </w:p>
    <w:p>
      <w:pPr>
        <w:spacing w:line="360" w:lineRule="auto" w:before="180" w:after="180"/>
        <w:ind w:firstLine="480"/>
      </w:pPr>
      <w:r>
        <w:rPr>
          <w:rFonts w:ascii="Times New Roman" w:hAnsi="Times New Roman" w:eastAsia="宋体"/>
          <w:b w:val="0"/>
          <w:sz w:val="24"/>
        </w:rPr>
        <w:t>应承担的功能：完成度：基本完成；功能：建立控制与执行约束的比较标准。</w:t>
      </w:r>
    </w:p>
    <w:p>
      <w:pPr>
        <w:spacing w:line="360" w:lineRule="auto" w:before="180" w:after="180"/>
        <w:ind w:firstLine="480"/>
      </w:pPr>
      <w:r>
        <w:rPr>
          <w:rFonts w:ascii="Times New Roman" w:hAnsi="Times New Roman" w:eastAsia="宋体"/>
          <w:b w:val="0"/>
          <w:sz w:val="24"/>
        </w:rPr>
        <w:t>评估与修改原因：原文“需要区分”比较口语化；修订后用分配矩阵的秩、推力上下限及执行器动态表述独立可控性和广义力可实现性，并明确性能评价量。</w:t>
      </w:r>
    </w:p>
    <w:p>
      <w:pPr>
        <w:keepNext/>
        <w:spacing w:line="360" w:lineRule="auto" w:before="240" w:after="240"/>
        <w:ind w:firstLine="0"/>
      </w:pPr>
      <w:r>
        <w:rPr>
          <w:rFonts w:ascii="Times New Roman" w:hAnsi="Times New Roman" w:eastAsia="黑体"/>
          <w:b/>
          <w:sz w:val="24"/>
        </w:rPr>
        <w:t>8. 2.2常规与鲁棒控制（第31段）</w:t>
      </w:r>
    </w:p>
    <w:p>
      <w:pPr>
        <w:spacing w:line="360" w:lineRule="auto" w:before="180" w:after="180"/>
        <w:ind w:firstLine="480"/>
      </w:pPr>
      <w:r>
        <w:rPr>
          <w:rFonts w:ascii="Times New Roman" w:hAnsi="Times New Roman" w:eastAsia="宋体"/>
          <w:b w:val="0"/>
          <w:sz w:val="24"/>
        </w:rPr>
        <w:t>应承担的功能：完成度：基本完成；功能：综述主要控制路线及其约束处理方式。</w:t>
      </w:r>
    </w:p>
    <w:p>
      <w:pPr>
        <w:spacing w:line="360" w:lineRule="auto" w:before="180" w:after="180"/>
        <w:ind w:firstLine="480"/>
      </w:pPr>
      <w:r>
        <w:rPr>
          <w:rFonts w:ascii="Times New Roman" w:hAnsi="Times New Roman" w:eastAsia="宋体"/>
          <w:b w:val="0"/>
          <w:sz w:val="24"/>
        </w:rPr>
        <w:t>评估与修改原因：原文已避免把PID一概判为无效，值得保留；进一步把鲁棒控制、滑模控制和推进器动态/饱和研究放入同一比较框架，避免以MPC作为唯一优劣标准。</w:t>
      </w:r>
    </w:p>
    <w:p>
      <w:pPr>
        <w:keepNext/>
        <w:spacing w:line="360" w:lineRule="auto" w:before="240" w:after="240"/>
        <w:ind w:firstLine="0"/>
      </w:pPr>
      <w:r>
        <w:rPr>
          <w:rFonts w:ascii="Times New Roman" w:hAnsi="Times New Roman" w:eastAsia="黑体"/>
          <w:b/>
          <w:sz w:val="24"/>
        </w:rPr>
        <w:t>9. 2.2模型预测控制（第32段）</w:t>
      </w:r>
    </w:p>
    <w:p>
      <w:pPr>
        <w:spacing w:line="360" w:lineRule="auto" w:before="180" w:after="180"/>
        <w:ind w:firstLine="480"/>
      </w:pPr>
      <w:r>
        <w:rPr>
          <w:rFonts w:ascii="Times New Roman" w:hAnsi="Times New Roman" w:eastAsia="宋体"/>
          <w:b w:val="0"/>
          <w:sz w:val="24"/>
        </w:rPr>
        <w:t>应承担的功能：完成度：基本完成；功能：说明MPC的已有研究、优势和适用前提。</w:t>
      </w:r>
    </w:p>
    <w:p>
      <w:pPr>
        <w:spacing w:line="360" w:lineRule="auto" w:before="180" w:after="180"/>
        <w:ind w:firstLine="480"/>
      </w:pPr>
      <w:r>
        <w:rPr>
          <w:rFonts w:ascii="Times New Roman" w:hAnsi="Times New Roman" w:eastAsia="宋体"/>
          <w:b w:val="0"/>
          <w:sz w:val="24"/>
        </w:rPr>
        <w:t>评估与修改原因：保留“可显式建模约束”及[25]—[27]的论据，同时明确不同自由度、推进器配置和硬件平台之间不能直接类比，突出计算时延与模型误差的条件性。</w:t>
      </w:r>
    </w:p>
    <w:p>
      <w:pPr>
        <w:keepNext/>
        <w:spacing w:line="360" w:lineRule="auto" w:before="240" w:after="240"/>
        <w:ind w:firstLine="0"/>
      </w:pPr>
      <w:r>
        <w:rPr>
          <w:rFonts w:ascii="Times New Roman" w:hAnsi="Times New Roman" w:eastAsia="黑体"/>
          <w:b/>
          <w:sz w:val="24"/>
        </w:rPr>
        <w:t>10. 2.2推力分配（第33段）</w:t>
      </w:r>
    </w:p>
    <w:p>
      <w:pPr>
        <w:spacing w:line="360" w:lineRule="auto" w:before="180" w:after="180"/>
        <w:ind w:firstLine="480"/>
      </w:pPr>
      <w:r>
        <w:rPr>
          <w:rFonts w:ascii="Times New Roman" w:hAnsi="Times New Roman" w:eastAsia="宋体"/>
          <w:b w:val="0"/>
          <w:sz w:val="24"/>
        </w:rPr>
        <w:t>应承担的功能：完成度：基本完成；功能：比较分配算法与本课题执行器约束的关系。</w:t>
      </w:r>
    </w:p>
    <w:p>
      <w:pPr>
        <w:spacing w:line="360" w:lineRule="auto" w:before="180" w:after="180"/>
        <w:ind w:firstLine="480"/>
      </w:pPr>
      <w:r>
        <w:rPr>
          <w:rFonts w:ascii="Times New Roman" w:hAnsi="Times New Roman" w:eastAsia="宋体"/>
          <w:b w:val="0"/>
          <w:sz w:val="24"/>
        </w:rPr>
        <w:t>评估与修改原因：原文罗列[28]—[33]较多但对照不足；修订后并列比较广义逆分配与优化分配各自的计算特点、约束表达能力及适用条件。</w:t>
      </w:r>
    </w:p>
    <w:p>
      <w:pPr>
        <w:keepNext/>
        <w:spacing w:line="360" w:lineRule="auto" w:before="240" w:after="240"/>
        <w:ind w:firstLine="0"/>
      </w:pPr>
      <w:r>
        <w:rPr>
          <w:rFonts w:ascii="Times New Roman" w:hAnsi="Times New Roman" w:eastAsia="黑体"/>
          <w:b/>
          <w:sz w:val="24"/>
        </w:rPr>
        <w:t>11. 2.2小结（第34段）</w:t>
      </w:r>
    </w:p>
    <w:p>
      <w:pPr>
        <w:spacing w:line="360" w:lineRule="auto" w:before="180" w:after="180"/>
        <w:ind w:firstLine="480"/>
      </w:pPr>
      <w:r>
        <w:rPr>
          <w:rFonts w:ascii="Times New Roman" w:hAnsi="Times New Roman" w:eastAsia="宋体"/>
          <w:b w:val="0"/>
          <w:sz w:val="24"/>
        </w:rPr>
        <w:t>应承担的功能：完成度：部分完成；功能：从控制律和分配方法收束为系统性研究问题。</w:t>
      </w:r>
    </w:p>
    <w:p>
      <w:pPr>
        <w:spacing w:line="360" w:lineRule="auto" w:before="180" w:after="180"/>
        <w:ind w:firstLine="480"/>
      </w:pPr>
      <w:r>
        <w:rPr>
          <w:rFonts w:ascii="Times New Roman" w:hAnsi="Times New Roman" w:eastAsia="宋体"/>
          <w:b w:val="0"/>
          <w:sz w:val="24"/>
        </w:rPr>
        <w:t>评估与修改原因：原文对上下层不一致问题解释正确；减少任务式语气，改用推力可实现范围、分配残差和上层预测开销之间的技术权衡完成段落。</w:t>
      </w:r>
    </w:p>
    <w:p>
      <w:pPr>
        <w:keepNext/>
        <w:spacing w:line="360" w:lineRule="auto" w:before="240" w:after="240"/>
        <w:ind w:firstLine="0"/>
      </w:pPr>
      <w:r>
        <w:rPr>
          <w:rFonts w:ascii="Times New Roman" w:hAnsi="Times New Roman" w:eastAsia="黑体"/>
          <w:b/>
          <w:sz w:val="24"/>
        </w:rPr>
        <w:t>12. 2.3引入段（第36段）</w:t>
      </w:r>
    </w:p>
    <w:p>
      <w:pPr>
        <w:spacing w:line="360" w:lineRule="auto" w:before="180" w:after="180"/>
        <w:ind w:firstLine="480"/>
      </w:pPr>
      <w:r>
        <w:rPr>
          <w:rFonts w:ascii="Times New Roman" w:hAnsi="Times New Roman" w:eastAsia="宋体"/>
          <w:b w:val="0"/>
          <w:sz w:val="24"/>
        </w:rPr>
        <w:t>应承担的功能：完成度：基本完成；功能：说明由算法验证转向飞控实现时应区分的证据层级。</w:t>
      </w:r>
    </w:p>
    <w:p>
      <w:pPr>
        <w:spacing w:line="360" w:lineRule="auto" w:before="180" w:after="180"/>
        <w:ind w:firstLine="480"/>
      </w:pPr>
      <w:r>
        <w:rPr>
          <w:rFonts w:ascii="Times New Roman" w:hAnsi="Times New Roman" w:eastAsia="宋体"/>
          <w:b w:val="0"/>
          <w:sz w:val="24"/>
        </w:rPr>
        <w:t>评估与修改原因：原文连续使用“需要明确”“需要进一步区分”，段落功能像操作注意事项；改为正式的领域现状叙述，区分平台能力与可验证能力。</w:t>
      </w:r>
    </w:p>
    <w:p>
      <w:pPr>
        <w:keepNext/>
        <w:spacing w:line="360" w:lineRule="auto" w:before="240" w:after="240"/>
        <w:ind w:firstLine="0"/>
      </w:pPr>
      <w:r>
        <w:rPr>
          <w:rFonts w:ascii="Times New Roman" w:hAnsi="Times New Roman" w:eastAsia="黑体"/>
          <w:b/>
          <w:sz w:val="24"/>
        </w:rPr>
        <w:t>13. 2.3平台架构（第37段）</w:t>
      </w:r>
    </w:p>
    <w:p>
      <w:pPr>
        <w:spacing w:line="360" w:lineRule="auto" w:before="180" w:after="180"/>
        <w:ind w:firstLine="480"/>
      </w:pPr>
      <w:r>
        <w:rPr>
          <w:rFonts w:ascii="Times New Roman" w:hAnsi="Times New Roman" w:eastAsia="宋体"/>
          <w:b w:val="0"/>
          <w:sz w:val="24"/>
        </w:rPr>
        <w:t>应承担的功能：完成度：基本完成；功能：综述PX4接口基础与特定机型集成边界。</w:t>
      </w:r>
    </w:p>
    <w:p>
      <w:pPr>
        <w:spacing w:line="360" w:lineRule="auto" w:before="180" w:after="180"/>
        <w:ind w:firstLine="480"/>
      </w:pPr>
      <w:r>
        <w:rPr>
          <w:rFonts w:ascii="Times New Roman" w:hAnsi="Times New Roman" w:eastAsia="宋体"/>
          <w:b w:val="0"/>
          <w:sz w:val="24"/>
        </w:rPr>
        <w:t>评估与修改原因：保留[34]—[35]及uORB、Control Allocator技术事实，将“通用框架”与“八推进器受约束优化分配已实现”严格区分。</w:t>
      </w:r>
    </w:p>
    <w:p>
      <w:pPr>
        <w:keepNext/>
        <w:spacing w:line="360" w:lineRule="auto" w:before="240" w:after="240"/>
        <w:ind w:firstLine="0"/>
      </w:pPr>
      <w:r>
        <w:rPr>
          <w:rFonts w:ascii="Times New Roman" w:hAnsi="Times New Roman" w:eastAsia="黑体"/>
          <w:b/>
          <w:sz w:val="24"/>
        </w:rPr>
        <w:t>14. 2.3 UUV支持（第38段）</w:t>
      </w:r>
    </w:p>
    <w:p>
      <w:pPr>
        <w:spacing w:line="360" w:lineRule="auto" w:before="180" w:after="180"/>
        <w:ind w:firstLine="480"/>
      </w:pPr>
      <w:r>
        <w:rPr>
          <w:rFonts w:ascii="Times New Roman" w:hAnsi="Times New Roman" w:eastAsia="宋体"/>
          <w:b w:val="0"/>
          <w:sz w:val="24"/>
        </w:rPr>
        <w:t>应承担的功能：完成度：基本完成；功能：界定PX4水下机型实际支持的模式与限制。</w:t>
      </w:r>
    </w:p>
    <w:p>
      <w:pPr>
        <w:spacing w:line="360" w:lineRule="auto" w:before="180" w:after="180"/>
        <w:ind w:firstLine="480"/>
      </w:pPr>
      <w:r>
        <w:rPr>
          <w:rFonts w:ascii="Times New Roman" w:hAnsi="Times New Roman" w:eastAsia="宋体"/>
          <w:b w:val="0"/>
          <w:sz w:val="24"/>
        </w:rPr>
        <w:t>评估与修改原因：本段是原稿审慎性较好的部分；修订时补充官方页面的版本适用性提醒，防止把BlueROV2 Heavy文档中已有模式误认为已实现任意六自由度受约束MPC。</w:t>
      </w:r>
    </w:p>
    <w:p>
      <w:pPr>
        <w:keepNext/>
        <w:spacing w:line="360" w:lineRule="auto" w:before="240" w:after="240"/>
        <w:ind w:firstLine="0"/>
      </w:pPr>
      <w:r>
        <w:rPr>
          <w:rFonts w:ascii="Times New Roman" w:hAnsi="Times New Roman" w:eastAsia="黑体"/>
          <w:b/>
          <w:sz w:val="24"/>
        </w:rPr>
        <w:t>15. 2.3闭环模型（第39段）</w:t>
      </w:r>
    </w:p>
    <w:p>
      <w:pPr>
        <w:spacing w:line="360" w:lineRule="auto" w:before="180" w:after="180"/>
        <w:ind w:firstLine="480"/>
      </w:pPr>
      <w:r>
        <w:rPr>
          <w:rFonts w:ascii="Times New Roman" w:hAnsi="Times New Roman" w:eastAsia="宋体"/>
          <w:b w:val="0"/>
          <w:sz w:val="24"/>
        </w:rPr>
        <w:t>应承担的功能：完成度：基本完成；功能：说明独立模型仿真与PX4/SITL闭环之间的差异。</w:t>
      </w:r>
    </w:p>
    <w:p>
      <w:pPr>
        <w:spacing w:line="360" w:lineRule="auto" w:before="180" w:after="180"/>
        <w:ind w:firstLine="480"/>
      </w:pPr>
      <w:r>
        <w:rPr>
          <w:rFonts w:ascii="Times New Roman" w:hAnsi="Times New Roman" w:eastAsia="宋体"/>
          <w:b w:val="0"/>
          <w:sz w:val="24"/>
        </w:rPr>
        <w:t>评估与修改原因：原文正确指出[10]为MATLAB/Simulink基准仿真而非Gazebo/PX4集成证据；修订后压缩程序性措辞，保留闭环时序和接口条件。</w:t>
      </w:r>
    </w:p>
    <w:p>
      <w:pPr>
        <w:keepNext/>
        <w:spacing w:line="360" w:lineRule="auto" w:before="240" w:after="240"/>
        <w:ind w:firstLine="0"/>
      </w:pPr>
      <w:r>
        <w:rPr>
          <w:rFonts w:ascii="Times New Roman" w:hAnsi="Times New Roman" w:eastAsia="黑体"/>
          <w:b/>
          <w:sz w:val="24"/>
        </w:rPr>
        <w:t>16. 2.3小结（第40段）</w:t>
      </w:r>
    </w:p>
    <w:p>
      <w:pPr>
        <w:spacing w:line="360" w:lineRule="auto" w:before="180" w:after="180"/>
        <w:ind w:firstLine="480"/>
      </w:pPr>
      <w:r>
        <w:rPr>
          <w:rFonts w:ascii="Times New Roman" w:hAnsi="Times New Roman" w:eastAsia="宋体"/>
          <w:b w:val="0"/>
          <w:sz w:val="24"/>
        </w:rPr>
        <w:t>应承担的功能：完成度：基本完成；功能：判断现有平台证据能够支持哪些结论。</w:t>
      </w:r>
    </w:p>
    <w:p>
      <w:pPr>
        <w:spacing w:line="360" w:lineRule="auto" w:before="180" w:after="180"/>
        <w:ind w:firstLine="480"/>
      </w:pPr>
      <w:r>
        <w:rPr>
          <w:rFonts w:ascii="Times New Roman" w:hAnsi="Times New Roman" w:eastAsia="宋体"/>
          <w:b w:val="0"/>
          <w:sz w:val="24"/>
        </w:rPr>
        <w:t>评估与修改原因：延续原文三种验证层级的有效区分；通过统一版本、试验条件、控制精度、推力约束和时延评价指标，使段落收束更具可比性。</w:t>
      </w:r>
    </w:p>
    <w:p>
      <w:pPr>
        <w:keepNext/>
        <w:spacing w:line="360" w:lineRule="auto" w:before="240" w:after="240"/>
        <w:ind w:firstLine="0"/>
      </w:pPr>
      <w:r>
        <w:rPr>
          <w:rFonts w:ascii="Times New Roman" w:hAnsi="Times New Roman" w:eastAsia="黑体"/>
          <w:b/>
          <w:sz w:val="24"/>
        </w:rPr>
        <w:t>17. 2.4趋势概括（第42段）</w:t>
      </w:r>
    </w:p>
    <w:p>
      <w:pPr>
        <w:spacing w:line="360" w:lineRule="auto" w:before="180" w:after="180"/>
        <w:ind w:firstLine="480"/>
      </w:pPr>
      <w:r>
        <w:rPr>
          <w:rFonts w:ascii="Times New Roman" w:hAnsi="Times New Roman" w:eastAsia="宋体"/>
          <w:b w:val="0"/>
          <w:sz w:val="24"/>
        </w:rPr>
        <w:t>应承担的功能：完成度：部分完成；功能：概括与课题密切相关的发展取向。</w:t>
      </w:r>
    </w:p>
    <w:p>
      <w:pPr>
        <w:spacing w:line="360" w:lineRule="auto" w:before="180" w:after="180"/>
        <w:ind w:firstLine="480"/>
      </w:pPr>
      <w:r>
        <w:rPr>
          <w:rFonts w:ascii="Times New Roman" w:hAnsi="Times New Roman" w:eastAsia="宋体"/>
          <w:b w:val="0"/>
          <w:sz w:val="24"/>
        </w:rPr>
        <w:t>评估与修改原因：原稿主要复述三个领域的研究问题；修订后强调三种技术取向的演化，并由“模型—控制—执行—验证协同”形成更高层次的趋势判断。</w:t>
      </w:r>
    </w:p>
    <w:p>
      <w:pPr>
        <w:keepNext/>
        <w:spacing w:line="360" w:lineRule="auto" w:before="240" w:after="240"/>
        <w:ind w:firstLine="0"/>
      </w:pPr>
      <w:r>
        <w:rPr>
          <w:rFonts w:ascii="Times New Roman" w:hAnsi="Times New Roman" w:eastAsia="黑体"/>
          <w:b/>
          <w:sz w:val="24"/>
        </w:rPr>
        <w:t>18. 2.4模型缺口（第43段）</w:t>
      </w:r>
    </w:p>
    <w:p>
      <w:pPr>
        <w:spacing w:line="360" w:lineRule="auto" w:before="180" w:after="180"/>
        <w:ind w:firstLine="480"/>
      </w:pPr>
      <w:r>
        <w:rPr>
          <w:rFonts w:ascii="Times New Roman" w:hAnsi="Times New Roman" w:eastAsia="宋体"/>
          <w:b w:val="0"/>
          <w:sz w:val="24"/>
        </w:rPr>
        <w:t>应承担的功能：完成度：部分完成；功能：表明一般模型结论对目标构型的适用边界。</w:t>
      </w:r>
    </w:p>
    <w:p>
      <w:pPr>
        <w:spacing w:line="360" w:lineRule="auto" w:before="180" w:after="180"/>
        <w:ind w:firstLine="480"/>
      </w:pPr>
      <w:r>
        <w:rPr>
          <w:rFonts w:ascii="Times New Roman" w:hAnsi="Times New Roman" w:eastAsia="宋体"/>
          <w:b w:val="0"/>
          <w:sz w:val="24"/>
        </w:rPr>
        <w:t>评估与修改原因：避免重复2.1的具体参数任务，转为更集中的证据判断：上述文献不足以直接给出目标工况所需模型精度和简化程度。</w:t>
      </w:r>
    </w:p>
    <w:p>
      <w:pPr>
        <w:keepNext/>
        <w:spacing w:line="360" w:lineRule="auto" w:before="240" w:after="240"/>
        <w:ind w:firstLine="0"/>
      </w:pPr>
      <w:r>
        <w:rPr>
          <w:rFonts w:ascii="Times New Roman" w:hAnsi="Times New Roman" w:eastAsia="黑体"/>
          <w:b/>
          <w:sz w:val="24"/>
        </w:rPr>
        <w:t>19. 2.4控制缺口（第44段）</w:t>
      </w:r>
    </w:p>
    <w:p>
      <w:pPr>
        <w:spacing w:line="360" w:lineRule="auto" w:before="180" w:after="180"/>
        <w:ind w:firstLine="480"/>
      </w:pPr>
      <w:r>
        <w:rPr>
          <w:rFonts w:ascii="Times New Roman" w:hAnsi="Times New Roman" w:eastAsia="宋体"/>
          <w:b w:val="0"/>
          <w:sz w:val="24"/>
        </w:rPr>
        <w:t>应承担的功能：完成度：部分完成；功能：聚合控制/推力分配之间的未决问题。</w:t>
      </w:r>
    </w:p>
    <w:p>
      <w:pPr>
        <w:spacing w:line="360" w:lineRule="auto" w:before="180" w:after="180"/>
        <w:ind w:firstLine="480"/>
      </w:pPr>
      <w:r>
        <w:rPr>
          <w:rFonts w:ascii="Times New Roman" w:hAnsi="Times New Roman" w:eastAsia="宋体"/>
          <w:b w:val="0"/>
          <w:sz w:val="24"/>
        </w:rPr>
        <w:t>评估与修改原因：不再重复各算法“各有适用条件”的一般论断，明确关注优化输入约束与推进器广义力可达范围之间的映射及相同工况比较。</w:t>
      </w:r>
    </w:p>
    <w:p>
      <w:pPr>
        <w:keepNext/>
        <w:spacing w:line="360" w:lineRule="auto" w:before="240" w:after="240"/>
        <w:ind w:firstLine="0"/>
      </w:pPr>
      <w:r>
        <w:rPr>
          <w:rFonts w:ascii="Times New Roman" w:hAnsi="Times New Roman" w:eastAsia="黑体"/>
          <w:b/>
          <w:sz w:val="24"/>
        </w:rPr>
        <w:t>20. 2.4工程缺口（第45段）</w:t>
      </w:r>
    </w:p>
    <w:p>
      <w:pPr>
        <w:spacing w:line="360" w:lineRule="auto" w:before="180" w:after="180"/>
        <w:ind w:firstLine="480"/>
      </w:pPr>
      <w:r>
        <w:rPr>
          <w:rFonts w:ascii="Times New Roman" w:hAnsi="Times New Roman" w:eastAsia="宋体"/>
          <w:b w:val="0"/>
          <w:sz w:val="24"/>
        </w:rPr>
        <w:t>应承担的功能：完成度：部分完成；功能：界定PX4相关证据在目标平台上的局限。</w:t>
      </w:r>
    </w:p>
    <w:p>
      <w:pPr>
        <w:spacing w:line="360" w:lineRule="auto" w:before="180" w:after="180"/>
        <w:ind w:firstLine="480"/>
      </w:pPr>
      <w:r>
        <w:rPr>
          <w:rFonts w:ascii="Times New Roman" w:hAnsi="Times New Roman" w:eastAsia="宋体"/>
          <w:b w:val="0"/>
          <w:sz w:val="24"/>
        </w:rPr>
        <w:t>评估与修改原因：保留已支持的功能，但强调公开文档、独立模型与目标机型SITL闭环不是同一证据层级，以此构成工程验证问题。</w:t>
      </w:r>
    </w:p>
    <w:p>
      <w:pPr>
        <w:keepNext/>
        <w:spacing w:line="360" w:lineRule="auto" w:before="240" w:after="240"/>
        <w:ind w:firstLine="0"/>
      </w:pPr>
      <w:r>
        <w:rPr>
          <w:rFonts w:ascii="Times New Roman" w:hAnsi="Times New Roman" w:eastAsia="黑体"/>
          <w:b/>
          <w:sz w:val="24"/>
        </w:rPr>
        <w:t>21. 2.4最后一段（第46段）</w:t>
      </w:r>
    </w:p>
    <w:p>
      <w:pPr>
        <w:spacing w:line="360" w:lineRule="auto" w:before="180" w:after="180"/>
        <w:ind w:firstLine="480"/>
      </w:pPr>
      <w:r>
        <w:rPr>
          <w:rFonts w:ascii="Times New Roman" w:hAnsi="Times New Roman" w:eastAsia="宋体"/>
          <w:b w:val="0"/>
          <w:sz w:val="24"/>
        </w:rPr>
        <w:t>应承担的功能：完成度：部分完成；功能：综合文献局限并衔接后续研究方案。</w:t>
      </w:r>
    </w:p>
    <w:p>
      <w:pPr>
        <w:spacing w:line="360" w:lineRule="auto" w:before="180" w:after="180"/>
        <w:ind w:firstLine="480"/>
      </w:pPr>
      <w:r>
        <w:rPr>
          <w:rFonts w:ascii="Times New Roman" w:hAnsi="Times New Roman" w:eastAsia="宋体"/>
          <w:b w:val="0"/>
          <w:sz w:val="24"/>
        </w:rPr>
        <w:t>评估与修改原因：原文“不是简单移植某一种控制算法”有自我声明色彩；改用客观概括的“协同适用性仍需验证”，最后仅说明后文将展开具体技术内容。</w:t>
      </w:r>
    </w:p>
    <w:p>
      <w:pPr>
        <w:keepNext/>
        <w:spacing w:line="360" w:lineRule="auto" w:before="240" w:after="240"/>
        <w:ind w:firstLine="0"/>
      </w:pPr>
      <w:r>
        <w:rPr>
          <w:rFonts w:ascii="Times New Roman" w:hAnsi="Times New Roman" w:eastAsia="黑体"/>
          <w:b/>
          <w:sz w:val="24"/>
        </w:rPr>
        <w:t>22. 标题与模板（第21、23、29、35、41段）</w:t>
      </w:r>
    </w:p>
    <w:p>
      <w:pPr>
        <w:spacing w:line="360" w:lineRule="auto" w:before="180" w:after="180"/>
        <w:ind w:firstLine="480"/>
      </w:pPr>
      <w:r>
        <w:rPr>
          <w:rFonts w:ascii="Times New Roman" w:hAnsi="Times New Roman" w:eastAsia="宋体"/>
          <w:b w:val="0"/>
          <w:sz w:val="24"/>
        </w:rPr>
        <w:t>应承担的功能：完成度：需要修正；功能：标明第2节及各专题综述的层级。</w:t>
      </w:r>
    </w:p>
    <w:p>
      <w:pPr>
        <w:spacing w:line="360" w:lineRule="auto" w:before="180" w:after="180"/>
        <w:ind w:firstLine="480"/>
      </w:pPr>
      <w:r>
        <w:rPr>
          <w:rFonts w:ascii="Times New Roman" w:hAnsi="Times New Roman" w:eastAsia="宋体"/>
          <w:b w:val="0"/>
          <w:sz w:val="24"/>
        </w:rPr>
        <w:t>评估与修改原因：原稿子标题虽采用黑体字形，但在文件中沿用正文式首行缩进；按上传模板说明改为小四号黑体、顶格，并统一1.5倍行距及段前/段后要求。</w:t>
      </w:r>
    </w:p>
    <w:p>
      <w:pPr>
        <w:keepNext/>
        <w:spacing w:line="360" w:lineRule="auto" w:before="240" w:after="240"/>
        <w:ind w:firstLine="0"/>
      </w:pPr>
      <w:r>
        <w:rPr>
          <w:rFonts w:ascii="Times New Roman" w:hAnsi="Times New Roman" w:eastAsia="黑体"/>
          <w:b/>
          <w:sz w:val="28"/>
        </w:rPr>
        <w:t>四、代表性措辞修改的对照摘录</w:t>
      </w:r>
    </w:p>
    <w:p>
      <w:pPr>
        <w:spacing w:line="360" w:lineRule="auto" w:before="180" w:after="180"/>
        <w:ind w:firstLine="480"/>
      </w:pPr>
      <w:r>
        <w:rPr>
          <w:rFonts w:ascii="Times New Roman" w:hAnsi="Times New Roman" w:eastAsia="宋体"/>
          <w:b w:val="0"/>
          <w:sz w:val="24"/>
        </w:rPr>
        <w:t>完整的逐字改动已在《PX4_第2节_标黄删除线对照修订稿》中直接标示：黄色表示新增或改写内容，删除线表示删去的旧文字。以下摘录仅展示关键修改方向。</w:t>
      </w:r>
    </w:p>
    <w:p>
      <w:pPr>
        <w:keepNext/>
        <w:spacing w:line="360" w:lineRule="auto" w:before="240" w:after="240"/>
        <w:ind w:firstLine="0"/>
      </w:pPr>
      <w:r>
        <w:rPr>
          <w:rFonts w:ascii="Times New Roman" w:hAnsi="Times New Roman" w:eastAsia="黑体"/>
          <w:b/>
          <w:sz w:val="24"/>
        </w:rPr>
        <w:t>1. 总领段</w:t>
      </w:r>
    </w:p>
    <w:p>
      <w:pPr>
        <w:spacing w:line="360" w:lineRule="auto" w:before="180" w:after="180"/>
        <w:ind w:firstLine="480"/>
      </w:pPr>
      <w:r>
        <w:rPr>
          <w:rFonts w:ascii="Times New Roman" w:hAnsi="Times New Roman" w:eastAsia="宋体"/>
          <w:b w:val="0"/>
          <w:sz w:val="24"/>
        </w:rPr>
        <w:t>原文：三者分别回答：动力学模型能否合理描述目标工况……</w:t>
      </w:r>
    </w:p>
    <w:p>
      <w:pPr>
        <w:spacing w:line="360" w:lineRule="auto" w:before="180" w:after="180"/>
        <w:ind w:firstLine="480"/>
      </w:pPr>
      <w:r>
        <w:rPr>
          <w:rFonts w:ascii="Times New Roman" w:hAnsi="Times New Roman" w:eastAsia="宋体"/>
          <w:b w:val="0"/>
          <w:sz w:val="24"/>
        </w:rPr>
        <w:t>修改：动力学模型为预测控制提供状态演化依据，控制律及推力分配共同影响期望广义力的可实现性……</w:t>
      </w:r>
    </w:p>
    <w:p>
      <w:pPr>
        <w:spacing w:line="360" w:lineRule="auto" w:before="180" w:after="180"/>
        <w:ind w:firstLine="480"/>
      </w:pPr>
      <w:r>
        <w:rPr>
          <w:rFonts w:ascii="Times New Roman" w:hAnsi="Times New Roman" w:eastAsia="宋体"/>
          <w:b w:val="0"/>
          <w:sz w:val="24"/>
        </w:rPr>
        <w:t>理由：改设问为正式学术叙述；不是教读者如何看提纲，而是交代研究路线之间的客观技术联系。</w:t>
      </w:r>
    </w:p>
    <w:p>
      <w:pPr>
        <w:keepNext/>
        <w:spacing w:line="360" w:lineRule="auto" w:before="240" w:after="240"/>
        <w:ind w:firstLine="0"/>
      </w:pPr>
      <w:r>
        <w:rPr>
          <w:rFonts w:ascii="Times New Roman" w:hAnsi="Times New Roman" w:eastAsia="黑体"/>
          <w:b/>
          <w:sz w:val="24"/>
        </w:rPr>
        <w:t>2. 2.1机理建模</w:t>
      </w:r>
    </w:p>
    <w:p>
      <w:pPr>
        <w:spacing w:line="360" w:lineRule="auto" w:before="180" w:after="180"/>
        <w:ind w:firstLine="480"/>
      </w:pPr>
      <w:r>
        <w:rPr>
          <w:rFonts w:ascii="Times New Roman" w:hAnsi="Times New Roman" w:eastAsia="宋体"/>
          <w:b w:val="0"/>
          <w:sz w:val="24"/>
        </w:rPr>
        <w:t>原文：上述成果表明，六自由度动力学框架可作为共同起点……</w:t>
      </w:r>
    </w:p>
    <w:p>
      <w:pPr>
        <w:spacing w:line="360" w:lineRule="auto" w:before="180" w:after="180"/>
        <w:ind w:firstLine="480"/>
      </w:pPr>
      <w:r>
        <w:rPr>
          <w:rFonts w:ascii="Times New Roman" w:hAnsi="Times New Roman" w:eastAsia="宋体"/>
          <w:b w:val="0"/>
          <w:sz w:val="24"/>
        </w:rPr>
        <w:t>修改：这些成果说明，通用动力学框架能够提供建模依据，但水动力参数与主要耦合特性仍具有明显的构型依赖性。</w:t>
      </w:r>
    </w:p>
    <w:p>
      <w:pPr>
        <w:spacing w:line="360" w:lineRule="auto" w:before="180" w:after="180"/>
        <w:ind w:firstLine="480"/>
      </w:pPr>
      <w:r>
        <w:rPr>
          <w:rFonts w:ascii="Times New Roman" w:hAnsi="Times New Roman" w:eastAsia="宋体"/>
          <w:b w:val="0"/>
          <w:sz w:val="24"/>
        </w:rPr>
        <w:t>理由：保留原判断并聚焦“通用框架与构型参数不可直接迁移”的证据边界。</w:t>
      </w:r>
    </w:p>
    <w:p>
      <w:pPr>
        <w:keepNext/>
        <w:spacing w:line="360" w:lineRule="auto" w:before="240" w:after="240"/>
        <w:ind w:firstLine="0"/>
      </w:pPr>
      <w:r>
        <w:rPr>
          <w:rFonts w:ascii="Times New Roman" w:hAnsi="Times New Roman" w:eastAsia="黑体"/>
          <w:b/>
          <w:sz w:val="24"/>
        </w:rPr>
        <w:t>3. 2.2研究评价</w:t>
      </w:r>
    </w:p>
    <w:p>
      <w:pPr>
        <w:spacing w:line="360" w:lineRule="auto" w:before="180" w:after="180"/>
        <w:ind w:firstLine="480"/>
      </w:pPr>
      <w:r>
        <w:rPr>
          <w:rFonts w:ascii="Times New Roman" w:hAnsi="Times New Roman" w:eastAsia="宋体"/>
          <w:b w:val="0"/>
          <w:sz w:val="24"/>
        </w:rPr>
        <w:t>原文：需要区分六自由度动力学描述与六自由度独立控制能力……</w:t>
      </w:r>
    </w:p>
    <w:p>
      <w:pPr>
        <w:spacing w:line="360" w:lineRule="auto" w:before="180" w:after="180"/>
        <w:ind w:firstLine="480"/>
      </w:pPr>
      <w:r>
        <w:rPr>
          <w:rFonts w:ascii="Times New Roman" w:hAnsi="Times New Roman" w:eastAsia="宋体"/>
          <w:b w:val="0"/>
          <w:sz w:val="24"/>
        </w:rPr>
        <w:t>修改：六自由度动力学描述并不等同于六个运动自由度均可独立控制；推进器分配矩阵的秩……</w:t>
      </w:r>
    </w:p>
    <w:p>
      <w:pPr>
        <w:spacing w:line="360" w:lineRule="auto" w:before="180" w:after="180"/>
        <w:ind w:firstLine="480"/>
      </w:pPr>
      <w:r>
        <w:rPr>
          <w:rFonts w:ascii="Times New Roman" w:hAnsi="Times New Roman" w:eastAsia="宋体"/>
          <w:b w:val="0"/>
          <w:sz w:val="24"/>
        </w:rPr>
        <w:t>理由：将写作提示改为明确的科学判断，并补全判断依赖的技术条件。</w:t>
      </w:r>
    </w:p>
    <w:p>
      <w:pPr>
        <w:keepNext/>
        <w:spacing w:line="360" w:lineRule="auto" w:before="240" w:after="240"/>
        <w:ind w:firstLine="0"/>
      </w:pPr>
      <w:r>
        <w:rPr>
          <w:rFonts w:ascii="Times New Roman" w:hAnsi="Times New Roman" w:eastAsia="黑体"/>
          <w:b/>
          <w:sz w:val="24"/>
        </w:rPr>
        <w:t>4. 2.3软件条件</w:t>
      </w:r>
    </w:p>
    <w:p>
      <w:pPr>
        <w:spacing w:line="360" w:lineRule="auto" w:before="180" w:after="180"/>
        <w:ind w:firstLine="480"/>
      </w:pPr>
      <w:r>
        <w:rPr>
          <w:rFonts w:ascii="Times New Roman" w:hAnsi="Times New Roman" w:eastAsia="宋体"/>
          <w:b w:val="0"/>
          <w:sz w:val="24"/>
        </w:rPr>
        <w:t>原文：通用的控制分配机制并不等同于已经完成面向特定八推进器构型的受约束优化分配……</w:t>
      </w:r>
    </w:p>
    <w:p>
      <w:pPr>
        <w:spacing w:line="360" w:lineRule="auto" w:before="180" w:after="180"/>
        <w:ind w:firstLine="480"/>
      </w:pPr>
      <w:r>
        <w:rPr>
          <w:rFonts w:ascii="Times New Roman" w:hAnsi="Times New Roman" w:eastAsia="宋体"/>
          <w:b w:val="0"/>
          <w:sz w:val="24"/>
        </w:rPr>
        <w:t>修改：通用控制分配功能并不能直接证明特定八推进器构型已具备受约束最优推力分配能力。</w:t>
      </w:r>
    </w:p>
    <w:p>
      <w:pPr>
        <w:spacing w:line="360" w:lineRule="auto" w:before="180" w:after="180"/>
        <w:ind w:firstLine="480"/>
      </w:pPr>
      <w:r>
        <w:rPr>
          <w:rFonts w:ascii="Times New Roman" w:hAnsi="Times New Roman" w:eastAsia="宋体"/>
          <w:b w:val="0"/>
          <w:sz w:val="24"/>
        </w:rPr>
        <w:t>理由：强调接口或组件的存在不是已实现目标算法的实验证据。</w:t>
      </w:r>
    </w:p>
    <w:p>
      <w:pPr>
        <w:keepNext/>
        <w:spacing w:line="360" w:lineRule="auto" w:before="240" w:after="240"/>
        <w:ind w:firstLine="0"/>
      </w:pPr>
      <w:r>
        <w:rPr>
          <w:rFonts w:ascii="Times New Roman" w:hAnsi="Times New Roman" w:eastAsia="黑体"/>
          <w:b/>
          <w:sz w:val="24"/>
        </w:rPr>
        <w:t>5. 2.4结尾</w:t>
      </w:r>
    </w:p>
    <w:p>
      <w:pPr>
        <w:spacing w:line="360" w:lineRule="auto" w:before="180" w:after="180"/>
        <w:ind w:firstLine="480"/>
      </w:pPr>
      <w:r>
        <w:rPr>
          <w:rFonts w:ascii="Times New Roman" w:hAnsi="Times New Roman" w:eastAsia="宋体"/>
          <w:b w:val="0"/>
          <w:sz w:val="24"/>
        </w:rPr>
        <w:t>原文：因此，本课题的研究切入点不是简单移植某一种控制算法……</w:t>
      </w:r>
    </w:p>
    <w:p>
      <w:pPr>
        <w:spacing w:line="360" w:lineRule="auto" w:before="180" w:after="180"/>
        <w:ind w:firstLine="480"/>
      </w:pPr>
      <w:r>
        <w:rPr>
          <w:rFonts w:ascii="Times New Roman" w:hAnsi="Times New Roman" w:eastAsia="宋体"/>
          <w:b w:val="0"/>
          <w:sz w:val="24"/>
        </w:rPr>
        <w:t>修改：综上，现有研究分别为动力学模型、受约束控制及开源平台集成提供了方法基础，但这些成果在目标八推进器航行器上的协同适用性仍需验证。</w:t>
      </w:r>
    </w:p>
    <w:p>
      <w:pPr>
        <w:spacing w:line="360" w:lineRule="auto" w:before="180" w:after="180"/>
        <w:ind w:firstLine="480"/>
      </w:pPr>
      <w:r>
        <w:rPr>
          <w:rFonts w:ascii="Times New Roman" w:hAnsi="Times New Roman" w:eastAsia="宋体"/>
          <w:b w:val="0"/>
          <w:sz w:val="24"/>
        </w:rPr>
        <w:t>理由：从否定式自我表态改为基于综述的待解决问题，避免研究现状部分变成研究宣言。</w:t>
      </w:r>
    </w:p>
    <w:p>
      <w:pPr>
        <w:keepNext/>
        <w:spacing w:line="360" w:lineRule="auto" w:before="240" w:after="240"/>
        <w:ind w:firstLine="0"/>
      </w:pPr>
      <w:r>
        <w:rPr>
          <w:rFonts w:ascii="Times New Roman" w:hAnsi="Times New Roman" w:eastAsia="黑体"/>
          <w:b/>
          <w:sz w:val="28"/>
        </w:rPr>
        <w:t>五、模板与事实核验说明</w:t>
      </w:r>
    </w:p>
    <w:p>
      <w:pPr>
        <w:spacing w:line="360" w:lineRule="auto" w:before="180" w:after="180"/>
        <w:ind w:firstLine="480"/>
      </w:pPr>
      <w:r>
        <w:rPr>
          <w:rFonts w:ascii="Times New Roman" w:hAnsi="Times New Roman" w:eastAsia="宋体"/>
          <w:b w:val="0"/>
          <w:sz w:val="24"/>
        </w:rPr>
        <w:t>格式处理：修订稿保留上传PX4文件的封面、章序、页边距、参考文献顺序和其他章节内容；对第2节统一设置中文宋体、英文Times New Roman、小四号正文、1.5倍行距、首行缩进两字符及段前段后各约半行。第2节下属2.1—2.4标题采用小四号黑体、顶格，标题与正文层级一致。正文引用号按原报告保留上标格式。标黄和删除线仅用于对照稿；清洁稿保留修订后内容与模板样式。</w:t>
      </w:r>
    </w:p>
    <w:p>
      <w:pPr>
        <w:spacing w:line="360" w:lineRule="auto" w:before="180" w:after="180"/>
        <w:ind w:firstLine="480"/>
      </w:pPr>
      <w:r>
        <w:rPr>
          <w:rFonts w:ascii="Times New Roman" w:hAnsi="Times New Roman" w:eastAsia="宋体"/>
          <w:b w:val="0"/>
          <w:sz w:val="24"/>
        </w:rPr>
        <w:t>事实边界：PX4官方“Submarines (UUV)”页面将水下支持标注为实验性，BlueROV2 Heavy文档明确列出其支持模式，Control Allocation为通用控制分配机制，Offboard是有接口及失联条件限制的外部控制机制。在线文档可能涉及不同软件分支与历史版本；本次改写仅核对这些关键公开事实，未将所有参考文献逐项作独立出版真实性审计。</w:t>
      </w:r>
    </w:p>
    <w:p>
      <w:pPr>
        <w:spacing w:line="360" w:lineRule="auto" w:before="180" w:after="180"/>
        <w:ind w:firstLine="480"/>
      </w:pPr>
      <w:r>
        <w:rPr>
          <w:rFonts w:ascii="Times New Roman" w:hAnsi="Times New Roman" w:eastAsia="宋体"/>
          <w:b w:val="0"/>
          <w:sz w:val="24"/>
        </w:rPr>
        <w:t>尚需补齐：原PX4文件中“二、毕业论文方案介绍”的研究内容、研究方案和工作进度均标注“（待后续阶段撰写）”，因此目前只能判断综述“应当怎样衔接”后文，不能认定整份开题报告已经形成真正的文献—方法—指标闭环。建议后文对应交代控制导向模型及参数来源、所选MPC结构和执行器约束建模、PX4控制接口/SITL联调方法、与PID或其他基线算法的相同工况对照及评价指标。</w:t>
      </w:r>
    </w:p>
    <w:p>
      <w:pPr>
        <w:keepNext/>
        <w:spacing w:line="360" w:lineRule="auto" w:before="240" w:after="240"/>
        <w:ind w:firstLine="0"/>
      </w:pPr>
      <w:r>
        <w:rPr>
          <w:rFonts w:ascii="Times New Roman" w:hAnsi="Times New Roman" w:eastAsia="黑体"/>
          <w:b/>
          <w:sz w:val="24"/>
        </w:rPr>
        <w:t>核验的PX4官方页面（供复核，不替代原参考文献编号）：</w:t>
      </w:r>
    </w:p>
    <w:p>
      <w:pPr>
        <w:spacing w:after="80"/>
        <w:ind w:left="280"/>
      </w:pPr>
      <w:r>
        <w:rPr>
          <w:rFonts w:ascii="Times New Roman" w:hAnsi="Times New Roman" w:eastAsia="宋体"/>
          <w:b w:val="0"/>
          <w:sz w:val="18"/>
        </w:rPr>
        <w:t>https://docs.px4.io/main/en/frames_sub/index</w:t>
      </w:r>
    </w:p>
    <w:p>
      <w:pPr>
        <w:spacing w:after="80"/>
        <w:ind w:left="280"/>
      </w:pPr>
      <w:r>
        <w:rPr>
          <w:rFonts w:ascii="Times New Roman" w:hAnsi="Times New Roman" w:eastAsia="宋体"/>
          <w:b w:val="0"/>
          <w:sz w:val="18"/>
        </w:rPr>
        <w:t>https://docs.px4.io/main/en/frames_sub/bluerov2</w:t>
      </w:r>
    </w:p>
    <w:p>
      <w:pPr>
        <w:spacing w:after="80"/>
        <w:ind w:left="280"/>
      </w:pPr>
      <w:r>
        <w:rPr>
          <w:rFonts w:ascii="Times New Roman" w:hAnsi="Times New Roman" w:eastAsia="宋体"/>
          <w:b w:val="0"/>
          <w:sz w:val="18"/>
        </w:rPr>
        <w:t>https://docs.px4.io/main/en/concept/control_allocation</w:t>
      </w:r>
    </w:p>
    <w:p>
      <w:pPr>
        <w:spacing w:after="80"/>
        <w:ind w:left="280"/>
      </w:pPr>
      <w:r>
        <w:rPr>
          <w:rFonts w:ascii="Times New Roman" w:hAnsi="Times New Roman" w:eastAsia="宋体"/>
          <w:b w:val="0"/>
          <w:sz w:val="18"/>
        </w:rPr>
        <w:t>https://docs.px4.io/main/en/flight_modes/offboard</w:t>
      </w:r>
    </w:p>
    <w:sectPr w:rsidR="00FC693F" w:rsidRPr="0006063C" w:rsidSect="00034616">
      <w:pgSz w:w="11907" w:h="16840"/>
      <w:pgMar w:top="1304" w:right="1797" w:bottom="567"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