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5957FA75">
      <w:pPr>
        <w:pStyle w:val="10"/>
        <w:spacing w:before="0" w:beforeLines="0" w:after="0" w:afterLines="0" w:line="360" w:lineRule="auto"/>
        <w:ind w:firstLine="480" w:firstLineChars="200"/>
      </w:pPr>
      <w:r>
        <w:rPr>
          <w:rFonts w:ascii="Times New Roman" w:hAnsi="Times New Roman" w:eastAsia="宋体" w:cs="Times New Roman"/>
          <w:b w:val="0"/>
          <w:sz w:val="24"/>
        </w:rPr>
        <w:t>随着“海洋强国”战略的推进，水下基础设施的安全运维对小型水下航行器提出了更高要求。《“十四五”机器人产业发展规划》</w:t>
      </w:r>
      <w:r>
        <w:rPr>
          <w:rFonts w:ascii="Times New Roman" w:hAnsi="Times New Roman" w:eastAsia="宋体" w:cs="Times New Roman"/>
          <w:b w:val="0"/>
          <w:sz w:val="24"/>
          <w:vertAlign w:val="superscript"/>
        </w:rPr>
        <w:t>[1]</w:t>
      </w:r>
      <w:r>
        <w:rPr>
          <w:rFonts w:ascii="Times New Roman" w:hAnsi="Times New Roman" w:eastAsia="宋体" w:cs="Times New Roman"/>
          <w:b w:val="0"/>
          <w:sz w:val="24"/>
        </w:rPr>
        <w:t>将水下探测、监测和作业机器人纳入特种机器人重点发展方向；《“机器人+”应用行动实施方案》</w:t>
      </w:r>
      <w:r>
        <w:rPr>
          <w:rFonts w:ascii="Times New Roman" w:hAnsi="Times New Roman" w:eastAsia="宋体" w:cs="Times New Roman"/>
          <w:b w:val="0"/>
          <w:sz w:val="24"/>
          <w:vertAlign w:val="superscript"/>
        </w:rPr>
        <w:t>[2]</w:t>
      </w:r>
      <w:r>
        <w:rPr>
          <w:rFonts w:ascii="Times New Roman" w:hAnsi="Times New Roman" w:eastAsia="宋体" w:cs="Times New Roman"/>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14:paraId="5A77C9DB">
      <w:pPr>
        <w:pStyle w:val="10"/>
        <w:spacing w:before="0" w:beforeLines="0" w:after="0" w:afterLines="0" w:line="360" w:lineRule="auto"/>
        <w:ind w:firstLine="480" w:firstLineChars="200"/>
      </w:pPr>
      <w:r>
        <w:rPr>
          <w:rFonts w:ascii="Times New Roman" w:hAnsi="Times New Roman" w:eastAsia="宋体" w:cs="Times New Roman"/>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14:paraId="5C6839AC">
      <w:pPr>
        <w:pStyle w:val="10"/>
        <w:spacing w:before="0" w:beforeLines="0" w:after="0" w:afterLines="0" w:line="360" w:lineRule="auto"/>
        <w:ind w:firstLine="480" w:firstLineChars="200"/>
      </w:pPr>
      <w:r>
        <w:rPr>
          <w:rFonts w:ascii="Times New Roman" w:hAnsi="Times New Roman" w:eastAsia="宋体" w:cs="Times New Roman"/>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。因此，面向具体航行器的动力学特性及推进器约束，在PX4相关环境中开展MPC算法的适配与验证具有研究价值。</w:t>
      </w:r>
    </w:p>
    <w:p w14:paraId="4100DB2C">
      <w:pPr>
        <w:pStyle w:val="9"/>
        <w:tabs>
          <w:tab w:val="left" w:pos="7083"/>
        </w:tabs>
        <w:spacing w:before="180" w:beforeLines="50" w:after="180" w:afterLines="50" w:line="360" w:lineRule="auto"/>
        <w:ind w:firstLine="0" w:firstLineChars="0"/>
        <w:rPr>
          <w:rFonts w:hint="eastAsia"/>
          <w:sz w:val="24"/>
        </w:rPr>
      </w:pPr>
      <w:r>
        <w:rPr>
          <w:rFonts w:ascii="Times New Roman" w:hAnsi="Times New Roman" w:eastAsia="黑体" w:cs="Times New Roman"/>
          <w:b/>
          <w:strike w:val="0"/>
          <w:sz w:val="24"/>
        </w:rPr>
        <w:t>2． 国内外在该方向的研究现状</w:t>
      </w:r>
      <w:r>
        <w:rPr>
          <w:rFonts w:hint="eastAsia" w:ascii="Times New Roman" w:hAnsi="Times New Roman" w:eastAsia="黑体" w:cs="Times New Roman"/>
          <w:b/>
          <w:strike w:val="0"/>
          <w:sz w:val="24"/>
        </w:rPr>
        <w:t>和发展趋势</w:t>
      </w:r>
    </w:p>
    <w:p w14:paraId="15157EAA">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面向近距离巡检场景中水下航行器的低速悬停、多方向位姿调整及抗扰运动控制，相关研究主要涉及动力学建模与参数辨识、受约束运动控制与推力分配，以及飞控平台适配与闭环验证三个</w:t>
      </w:r>
      <w:r>
        <w:rPr>
          <w:rFonts w:ascii="Times New Roman" w:hAnsi="Times New Roman" w:eastAsia="宋体"/>
          <w:b w:val="0"/>
          <w:strike w:val="0"/>
          <w:color w:val="0000FF"/>
          <w:sz w:val="24"/>
        </w:rPr>
        <w:t>相互衔接的</w:t>
      </w:r>
      <w:r>
        <w:rPr>
          <w:rFonts w:ascii="Times New Roman" w:hAnsi="Times New Roman" w:eastAsia="宋体"/>
          <w:b w:val="0"/>
          <w:strike w:val="0"/>
          <w:sz w:val="24"/>
        </w:rPr>
        <w:t>方向。动力学模型为预测控制</w:t>
      </w:r>
      <w:r>
        <w:rPr>
          <w:rFonts w:ascii="Times New Roman" w:hAnsi="Times New Roman" w:eastAsia="宋体"/>
          <w:b w:val="0"/>
          <w:strike w:val="0"/>
          <w:color w:val="0000FF"/>
          <w:sz w:val="24"/>
        </w:rPr>
        <w:t>提供状态演化依据</w:t>
      </w:r>
      <w:r>
        <w:rPr>
          <w:rFonts w:ascii="Times New Roman" w:hAnsi="Times New Roman" w:eastAsia="宋体"/>
          <w:b w:val="0"/>
          <w:strike w:val="0"/>
          <w:sz w:val="24"/>
        </w:rPr>
        <w:t>，</w:t>
      </w:r>
      <w:r>
        <w:rPr>
          <w:rFonts w:ascii="Times New Roman" w:hAnsi="Times New Roman" w:eastAsia="宋体"/>
          <w:b w:val="0"/>
          <w:strike w:val="0"/>
          <w:dstrike w:val="0"/>
          <w:color w:val="0000FF"/>
          <w:sz w:val="24"/>
        </w:rPr>
        <w:t>控制律</w:t>
      </w:r>
      <w:r>
        <w:rPr>
          <w:rFonts w:ascii="Times New Roman" w:hAnsi="Times New Roman" w:eastAsia="宋体"/>
          <w:b w:val="0"/>
          <w:strike w:val="0"/>
          <w:sz w:val="24"/>
        </w:rPr>
        <w:t>及推力分配共同影响期望广义力的可实现性，飞控与仿真环境则关系到算法的实时运行和闭环验证。下文按照上述技术关联梳理国内外代表性成果，比较其研究对象、适用假设、约束处理方式与验证条件，并在此基础上归纳发展趋势及尚待解决的问题。</w:t>
      </w:r>
    </w:p>
    <w:p w14:paraId="3C6B7737">
      <w:pPr>
        <w:pStyle w:val="10"/>
        <w:keepNext/>
        <w:widowControl/>
        <w:spacing w:before="180" w:beforeLines="50" w:after="180" w:afterLines="50" w:line="360" w:lineRule="auto"/>
        <w:ind w:left="0" w:firstLine="480" w:firstLineChars="200"/>
        <w:jc w:val="left"/>
      </w:pPr>
      <w:r>
        <w:rPr>
          <w:rFonts w:ascii="Times New Roman" w:hAnsi="Times New Roman" w:eastAsia="黑体"/>
          <w:b/>
          <w:strike w:val="0"/>
          <w:sz w:val="24"/>
        </w:rPr>
        <w:t>2.1 水下航行器动力学建模与参数辨识研究现状</w:t>
      </w:r>
    </w:p>
    <w:p w14:paraId="54D62B23">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基于模型的控制方法需要利用动力学模型预测航行器的状态变化。水下航行器六自由度动力学通常涉及刚体惯性、附加质量、水动力阻尼及浮重力恢复力和力矩，其参数受到航行器外形、运动状态与环境条件的影响。现有研究主要从机理建模、参数获取和</w:t>
      </w:r>
      <w:r>
        <w:rPr>
          <w:rFonts w:ascii="Times New Roman" w:hAnsi="Times New Roman" w:eastAsia="宋体"/>
          <w:b/>
          <w:bCs/>
          <w:strike w:val="0"/>
          <w:color w:val="0000FF"/>
          <w:sz w:val="24"/>
        </w:rPr>
        <w:t>数据辅助修正</w:t>
      </w:r>
      <w:r>
        <w:rPr>
          <w:rFonts w:ascii="Times New Roman" w:hAnsi="Times New Roman" w:eastAsia="宋体"/>
          <w:b w:val="0"/>
          <w:strike w:val="0"/>
          <w:sz w:val="24"/>
        </w:rPr>
        <w:t>等方面提高模型的适用性。对于低速悬停与多轴联动控制，</w:t>
      </w:r>
      <w:r>
        <w:rPr>
          <w:rFonts w:ascii="Times New Roman" w:hAnsi="Times New Roman" w:eastAsia="宋体"/>
          <w:b w:val="0"/>
          <w:strike w:val="0"/>
          <w:color w:val="0000FF"/>
          <w:sz w:val="24"/>
        </w:rPr>
        <w:t>模型评价</w:t>
      </w:r>
      <w:r>
        <w:rPr>
          <w:rFonts w:ascii="Times New Roman" w:hAnsi="Times New Roman" w:eastAsia="宋体"/>
          <w:b w:val="0"/>
          <w:strike w:val="0"/>
          <w:sz w:val="24"/>
        </w:rPr>
        <w:t>不仅涉及物理描述的完整性，还应关注目标工况下的预测误差、参数可辨识性及在线计算负担。</w:t>
      </w:r>
    </w:p>
    <w:p w14:paraId="52761F1C">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在机理建模方面，Fossen</w:t>
      </w:r>
      <w:r>
        <w:rPr>
          <w:rFonts w:ascii="Times New Roman" w:hAnsi="Times New Roman" w:eastAsia="宋体"/>
          <w:b w:val="0"/>
          <w:strike w:val="0"/>
          <w:sz w:val="24"/>
          <w:vertAlign w:val="superscript"/>
        </w:rPr>
        <w:t>[5]</w:t>
      </w:r>
      <w:r>
        <w:rPr>
          <w:rFonts w:ascii="Times New Roman" w:hAnsi="Times New Roman" w:eastAsia="宋体"/>
          <w:b w:val="0"/>
          <w:strike w:val="0"/>
          <w:sz w:val="24"/>
        </w:rPr>
        <w:t>提出了海洋航行器六自由度运动的通用动力学描述，严卫生等</w:t>
      </w:r>
      <w:r>
        <w:rPr>
          <w:rFonts w:ascii="Times New Roman" w:hAnsi="Times New Roman" w:eastAsia="宋体"/>
          <w:b w:val="0"/>
          <w:strike w:val="0"/>
          <w:sz w:val="24"/>
          <w:vertAlign w:val="superscript"/>
        </w:rPr>
        <w:t>[6]</w:t>
      </w:r>
      <w:r>
        <w:rPr>
          <w:rFonts w:ascii="Times New Roman" w:hAnsi="Times New Roman" w:eastAsia="宋体"/>
          <w:b w:val="0"/>
          <w:strike w:val="0"/>
          <w:sz w:val="24"/>
        </w:rPr>
        <w:t>系统论述了水下航行器的建模与控制方法。面向具体对象，Prestero</w:t>
      </w:r>
      <w:r>
        <w:rPr>
          <w:rFonts w:ascii="Times New Roman" w:hAnsi="Times New Roman" w:eastAsia="宋体"/>
          <w:b w:val="0"/>
          <w:strike w:val="0"/>
          <w:sz w:val="24"/>
          <w:vertAlign w:val="superscript"/>
        </w:rPr>
        <w:t>[7]</w:t>
      </w:r>
      <w:r>
        <w:rPr>
          <w:rFonts w:ascii="Times New Roman" w:hAnsi="Times New Roman" w:eastAsia="宋体"/>
          <w:b w:val="0"/>
          <w:strike w:val="0"/>
          <w:sz w:val="24"/>
        </w:rPr>
        <w:t>建立并校验了流线型REMUS航行器的六自由度模型；Caccia等</w:t>
      </w:r>
      <w:r>
        <w:rPr>
          <w:rFonts w:ascii="Times New Roman" w:hAnsi="Times New Roman" w:eastAsia="宋体"/>
          <w:b w:val="0"/>
          <w:strike w:val="0"/>
          <w:sz w:val="24"/>
          <w:vertAlign w:val="superscript"/>
        </w:rPr>
        <w:t>[8]</w:t>
      </w:r>
      <w:r>
        <w:rPr>
          <w:rFonts w:ascii="Times New Roman" w:hAnsi="Times New Roman" w:eastAsia="宋体"/>
          <w:b w:val="0"/>
          <w:strike w:val="0"/>
          <w:sz w:val="24"/>
        </w:rPr>
        <w:t>对开架式可变构型水下航行器开展建模与辨识；</w:t>
      </w:r>
      <w:r>
        <w:rPr>
          <w:rFonts w:ascii="Times New Roman" w:hAnsi="Times New Roman" w:eastAsia="宋体"/>
          <w:b/>
          <w:bCs/>
          <w:strike w:val="0"/>
          <w:color w:val="0000FF"/>
          <w:sz w:val="24"/>
        </w:rPr>
        <w:t>Smallwood与Whitcomb</w:t>
      </w:r>
      <w:r>
        <w:rPr>
          <w:rFonts w:ascii="Times New Roman" w:hAnsi="Times New Roman" w:eastAsia="宋体"/>
          <w:b/>
          <w:bCs/>
          <w:strike w:val="0"/>
          <w:color w:val="0000FF"/>
          <w:sz w:val="24"/>
          <w:vertAlign w:val="superscript"/>
        </w:rPr>
        <w:t>[9]</w:t>
      </w:r>
      <w:r>
        <w:rPr>
          <w:rFonts w:ascii="Times New Roman" w:hAnsi="Times New Roman" w:eastAsia="宋体"/>
          <w:b/>
          <w:bCs/>
          <w:strike w:val="0"/>
          <w:color w:val="0000FF"/>
          <w:sz w:val="24"/>
        </w:rPr>
        <w:t>通过动力定位实验考察了基于模型的水下机器人控制方法</w:t>
      </w:r>
      <w:r>
        <w:rPr>
          <w:rFonts w:ascii="Times New Roman" w:hAnsi="Times New Roman" w:eastAsia="宋体"/>
          <w:b w:val="0"/>
          <w:strike w:val="0"/>
          <w:sz w:val="24"/>
        </w:rPr>
        <w:t>。这些成果说明，通用动力学框架能够提供建模依据，但水动力参数与主要耦合特性仍具有明显的构型依赖性。von Benzon等</w:t>
      </w:r>
      <w:r>
        <w:rPr>
          <w:rFonts w:ascii="Times New Roman" w:hAnsi="Times New Roman" w:eastAsia="宋体"/>
          <w:b w:val="0"/>
          <w:strike w:val="0"/>
          <w:sz w:val="24"/>
          <w:vertAlign w:val="superscript"/>
        </w:rPr>
        <w:t>[10]</w:t>
      </w:r>
      <w:r>
        <w:rPr>
          <w:rFonts w:ascii="Times New Roman" w:hAnsi="Times New Roman" w:eastAsia="宋体"/>
          <w:b w:val="0"/>
          <w:strike w:val="0"/>
          <w:sz w:val="24"/>
        </w:rPr>
        <w:t>提出的BlueROV2开源仿真模型</w:t>
      </w:r>
      <w:r>
        <w:rPr>
          <w:rFonts w:ascii="Times New Roman" w:hAnsi="Times New Roman" w:eastAsia="宋体"/>
          <w:b w:val="0"/>
          <w:strike w:val="0"/>
          <w:color w:val="0000FF"/>
          <w:sz w:val="24"/>
        </w:rPr>
        <w:t>可为</w:t>
      </w:r>
      <w:r>
        <w:rPr>
          <w:rFonts w:ascii="Times New Roman" w:hAnsi="Times New Roman" w:eastAsia="宋体"/>
          <w:b w:val="0"/>
          <w:strike w:val="0"/>
          <w:sz w:val="24"/>
        </w:rPr>
        <w:t>多推进器开架式平台</w:t>
      </w:r>
      <w:r>
        <w:rPr>
          <w:rFonts w:ascii="Times New Roman" w:hAnsi="Times New Roman" w:eastAsia="宋体"/>
          <w:b w:val="0"/>
          <w:strike w:val="0"/>
          <w:color w:val="0000FF"/>
          <w:sz w:val="24"/>
        </w:rPr>
        <w:t>提供参考</w:t>
      </w:r>
      <w:r>
        <w:rPr>
          <w:rFonts w:ascii="Times New Roman" w:hAnsi="Times New Roman" w:eastAsia="宋体"/>
          <w:b w:val="0"/>
          <w:strike w:val="0"/>
          <w:sz w:val="24"/>
        </w:rPr>
        <w:t>，但其参数、执行器配置和验证工况</w:t>
      </w:r>
      <w:r>
        <w:rPr>
          <w:rFonts w:ascii="Times New Roman" w:hAnsi="Times New Roman" w:eastAsia="宋体"/>
          <w:b w:val="0"/>
          <w:strike w:val="0"/>
          <w:color w:val="0000FF"/>
          <w:sz w:val="24"/>
        </w:rPr>
        <w:t>不能未经检验</w:t>
      </w:r>
      <w:r>
        <w:rPr>
          <w:rFonts w:ascii="Times New Roman" w:hAnsi="Times New Roman" w:eastAsia="宋体"/>
          <w:b w:val="0"/>
          <w:strike w:val="0"/>
          <w:sz w:val="24"/>
        </w:rPr>
        <w:t>便直接用于目标八推进器构型。</w:t>
      </w:r>
    </w:p>
    <w:p w14:paraId="7F140679">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在水动力参数获取方面，高婷等</w:t>
      </w:r>
      <w:r>
        <w:rPr>
          <w:rFonts w:ascii="Times New Roman" w:hAnsi="Times New Roman" w:eastAsia="宋体"/>
          <w:b w:val="0"/>
          <w:strike w:val="0"/>
          <w:sz w:val="24"/>
          <w:vertAlign w:val="superscript"/>
        </w:rPr>
        <w:t>[11]</w:t>
      </w:r>
      <w:r>
        <w:rPr>
          <w:rFonts w:ascii="Times New Roman" w:hAnsi="Times New Roman" w:eastAsia="宋体"/>
          <w:b w:val="0"/>
          <w:strike w:val="0"/>
          <w:sz w:val="24"/>
        </w:rPr>
        <w:t>研究了水动力系数的数值计算方法；Chin与Lau</w:t>
      </w:r>
      <w:r>
        <w:rPr>
          <w:rFonts w:ascii="Times New Roman" w:hAnsi="Times New Roman" w:eastAsia="宋体"/>
          <w:b w:val="0"/>
          <w:strike w:val="0"/>
          <w:sz w:val="24"/>
          <w:vertAlign w:val="superscript"/>
        </w:rPr>
        <w:t>[12]</w:t>
      </w:r>
      <w:r>
        <w:rPr>
          <w:rFonts w:ascii="Times New Roman" w:hAnsi="Times New Roman" w:eastAsia="宋体"/>
          <w:b w:val="0"/>
          <w:strike w:val="0"/>
          <w:sz w:val="24"/>
        </w:rPr>
        <w:t>通过阻尼建模与试验分析复杂外形水下机器人的低速水动力特性；Ross等</w:t>
      </w:r>
      <w:r>
        <w:rPr>
          <w:rFonts w:ascii="Times New Roman" w:hAnsi="Times New Roman" w:eastAsia="宋体"/>
          <w:b w:val="0"/>
          <w:strike w:val="0"/>
          <w:sz w:val="24"/>
          <w:vertAlign w:val="superscript"/>
        </w:rPr>
        <w:t>[13]</w:t>
      </w:r>
      <w:r>
        <w:rPr>
          <w:rFonts w:ascii="Times New Roman" w:hAnsi="Times New Roman" w:eastAsia="宋体"/>
          <w:b w:val="0"/>
          <w:strike w:val="0"/>
          <w:sz w:val="24"/>
        </w:rPr>
        <w:t>利用自由衰减试验辨识水动力系数；Avila与Adamowski</w:t>
      </w:r>
      <w:r>
        <w:rPr>
          <w:rFonts w:ascii="Times New Roman" w:hAnsi="Times New Roman" w:eastAsia="宋体"/>
          <w:b w:val="0"/>
          <w:strike w:val="0"/>
          <w:sz w:val="24"/>
          <w:vertAlign w:val="superscript"/>
        </w:rPr>
        <w:t>[14]</w:t>
      </w:r>
      <w:r>
        <w:rPr>
          <w:rFonts w:ascii="Times New Roman" w:hAnsi="Times New Roman" w:eastAsia="宋体"/>
          <w:b w:val="0"/>
          <w:strike w:val="0"/>
          <w:sz w:val="24"/>
        </w:rPr>
        <w:t>开展了开架式水下航行器的试验模型辨识。Harris等</w:t>
      </w:r>
      <w:r>
        <w:rPr>
          <w:rFonts w:ascii="Times New Roman" w:hAnsi="Times New Roman" w:eastAsia="宋体"/>
          <w:b w:val="0"/>
          <w:strike w:val="0"/>
          <w:sz w:val="24"/>
          <w:vertAlign w:val="superscript"/>
        </w:rPr>
        <w:t>[15]</w:t>
      </w:r>
      <w:r>
        <w:rPr>
          <w:rFonts w:ascii="Times New Roman" w:hAnsi="Times New Roman" w:eastAsia="宋体"/>
          <w:b w:val="0"/>
          <w:strike w:val="0"/>
          <w:sz w:val="24"/>
        </w:rPr>
        <w:t>进一步探讨了航行器运动模型与执行器模型的联合参数辨识。数值方法有助于考察构型和流场条件对水动力的影响，但结果依赖计算假设和边界条件；试验辨识能够反映具体平台的实际响应，但对激励覆盖范围与测量质量有一定要求。因而，面向预测控制的参数获取应结合目标工况中的状态预测误差评价其有效性。</w:t>
      </w:r>
    </w:p>
    <w:p w14:paraId="59C0A6DB">
      <w:pPr>
        <w:pStyle w:val="10"/>
        <w:widowControl/>
        <w:spacing w:before="180" w:beforeLines="0" w:after="180" w:afterLines="0" w:line="360" w:lineRule="auto"/>
        <w:ind w:left="0" w:firstLine="480" w:firstLineChars="200"/>
        <w:jc w:val="both"/>
      </w:pPr>
      <w:r>
        <w:rPr>
          <w:rFonts w:ascii="Times New Roman" w:hAnsi="Times New Roman" w:eastAsia="宋体"/>
          <w:b/>
          <w:bCs/>
          <w:strike w:val="0"/>
          <w:color w:val="0000FF"/>
          <w:sz w:val="24"/>
        </w:rPr>
        <w:t>数据辅助方法</w:t>
      </w:r>
      <w:r>
        <w:rPr>
          <w:rFonts w:ascii="Times New Roman" w:hAnsi="Times New Roman" w:eastAsia="宋体"/>
          <w:b w:val="0"/>
          <w:strike w:val="0"/>
          <w:sz w:val="24"/>
        </w:rPr>
        <w:t>为机理模型中难以精确表征的动力学项提供了修正思路。Brunton等</w:t>
      </w:r>
      <w:r>
        <w:rPr>
          <w:rFonts w:ascii="Times New Roman" w:hAnsi="Times New Roman" w:eastAsia="宋体"/>
          <w:b w:val="0"/>
          <w:strike w:val="0"/>
          <w:sz w:val="24"/>
          <w:vertAlign w:val="superscript"/>
        </w:rPr>
        <w:t>[16]</w:t>
      </w:r>
      <w:r>
        <w:rPr>
          <w:rFonts w:ascii="Times New Roman" w:hAnsi="Times New Roman" w:eastAsia="宋体"/>
          <w:b w:val="0"/>
          <w:strike w:val="0"/>
          <w:sz w:val="24"/>
        </w:rPr>
        <w:t>提出稀疏动力学辨识方法，Raissi等</w:t>
      </w:r>
      <w:r>
        <w:rPr>
          <w:rFonts w:ascii="Times New Roman" w:hAnsi="Times New Roman" w:eastAsia="宋体"/>
          <w:b w:val="0"/>
          <w:strike w:val="0"/>
          <w:sz w:val="24"/>
          <w:vertAlign w:val="superscript"/>
        </w:rPr>
        <w:t>[17]</w:t>
      </w:r>
      <w:r>
        <w:rPr>
          <w:rFonts w:ascii="Times New Roman" w:hAnsi="Times New Roman" w:eastAsia="宋体"/>
          <w:b w:val="0"/>
          <w:strike w:val="0"/>
          <w:sz w:val="24"/>
        </w:rPr>
        <w:t>与Chen等</w:t>
      </w:r>
      <w:r>
        <w:rPr>
          <w:rFonts w:ascii="Times New Roman" w:hAnsi="Times New Roman" w:eastAsia="宋体"/>
          <w:b w:val="0"/>
          <w:strike w:val="0"/>
          <w:sz w:val="24"/>
          <w:vertAlign w:val="superscript"/>
        </w:rPr>
        <w:t>[18]</w:t>
      </w:r>
      <w:r>
        <w:rPr>
          <w:rFonts w:ascii="Times New Roman" w:hAnsi="Times New Roman" w:eastAsia="宋体"/>
          <w:b w:val="0"/>
          <w:strike w:val="0"/>
          <w:sz w:val="24"/>
        </w:rPr>
        <w:t>分别从物理信息学习和连续时间动力学表示角度提出通用方法。</w:t>
      </w:r>
      <w:r>
        <w:rPr>
          <w:rFonts w:ascii="Times New Roman" w:hAnsi="Times New Roman" w:eastAsia="宋体"/>
          <w:b w:val="0"/>
          <w:strike w:val="0"/>
          <w:color w:val="0000FF"/>
          <w:sz w:val="24"/>
        </w:rPr>
        <w:t>这些成果主要提供方法层面的借鉴，并非针对八推进器水下航行器的直接验证</w:t>
      </w:r>
      <w:r>
        <w:rPr>
          <w:rFonts w:ascii="Times New Roman" w:hAnsi="Times New Roman" w:eastAsia="宋体"/>
          <w:b w:val="0"/>
          <w:strike w:val="0"/>
          <w:sz w:val="24"/>
        </w:rPr>
        <w:t>。在</w:t>
      </w:r>
      <w:r>
        <w:rPr>
          <w:rFonts w:ascii="Times New Roman" w:hAnsi="Times New Roman" w:eastAsia="宋体"/>
          <w:b/>
          <w:bCs/>
          <w:strike w:val="0"/>
          <w:color w:val="0000FF"/>
          <w:sz w:val="24"/>
        </w:rPr>
        <w:t>水下机器人研究</w:t>
      </w:r>
      <w:r>
        <w:rPr>
          <w:rFonts w:ascii="Times New Roman" w:hAnsi="Times New Roman" w:eastAsia="宋体"/>
          <w:b w:val="0"/>
          <w:strike w:val="0"/>
          <w:sz w:val="24"/>
        </w:rPr>
        <w:t>中，Liu等</w:t>
      </w:r>
      <w:r>
        <w:rPr>
          <w:rFonts w:ascii="Times New Roman" w:hAnsi="Times New Roman" w:eastAsia="宋体"/>
          <w:b w:val="0"/>
          <w:strike w:val="0"/>
          <w:sz w:val="24"/>
          <w:vertAlign w:val="superscript"/>
        </w:rPr>
        <w:t>[19]</w:t>
      </w:r>
      <w:r>
        <w:rPr>
          <w:rFonts w:ascii="Times New Roman" w:hAnsi="Times New Roman" w:eastAsia="宋体"/>
          <w:b w:val="0"/>
          <w:strike w:val="0"/>
          <w:sz w:val="24"/>
        </w:rPr>
        <w:t>利用Koopman方法开展仿生航行器水动力在线辨识，但仿生推进与开架式多推进器构型存在差异，其模型结构及性能结论仍需针对目标对象重新检验。</w:t>
      </w:r>
    </w:p>
    <w:p w14:paraId="16C179F2">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综上，六自由度机理建模为水下航行器控制提供了较成熟的理论基础，数值计算、试验辨识和数据辅助修正则形成了互补的参数获取路径。然而，上述研究的模型精度与计算代价均受具体构型及验证工况影响，</w:t>
      </w:r>
      <w:r>
        <w:rPr>
          <w:rFonts w:ascii="Times New Roman" w:hAnsi="Times New Roman" w:eastAsia="宋体"/>
          <w:b/>
          <w:bCs/>
          <w:strike w:val="0"/>
          <w:color w:val="0000FF"/>
          <w:sz w:val="24"/>
        </w:rPr>
        <w:t>尚不足以直接确定</w:t>
      </w:r>
      <w:r>
        <w:rPr>
          <w:rFonts w:ascii="Times New Roman" w:hAnsi="Times New Roman" w:eastAsia="宋体"/>
          <w:b w:val="0"/>
          <w:strike w:val="0"/>
          <w:sz w:val="24"/>
        </w:rPr>
        <w:t>目标八推进器航行器在低速悬停和多轴联动任务中所需的模型复杂度。</w:t>
      </w:r>
      <w:r>
        <w:rPr>
          <w:rFonts w:ascii="Times New Roman" w:hAnsi="Times New Roman" w:eastAsia="宋体"/>
          <w:b w:val="0"/>
          <w:strike w:val="0"/>
          <w:color w:val="0000FF"/>
          <w:sz w:val="24"/>
        </w:rPr>
        <w:t>因此，预测精度、参数可获得性与在线计算量之间的权衡，是该方向与本课题直接相关的研究问题。</w:t>
      </w:r>
    </w:p>
    <w:p w14:paraId="52197C4E">
      <w:pPr>
        <w:pStyle w:val="10"/>
        <w:keepNext/>
        <w:widowControl/>
        <w:spacing w:before="180" w:beforeLines="50" w:after="180" w:afterLines="50" w:line="360" w:lineRule="auto"/>
        <w:ind w:left="0" w:firstLine="480" w:firstLineChars="200"/>
        <w:jc w:val="left"/>
      </w:pPr>
      <w:r>
        <w:rPr>
          <w:rFonts w:ascii="Times New Roman" w:hAnsi="Times New Roman" w:eastAsia="黑体"/>
          <w:b/>
          <w:strike w:val="0"/>
          <w:sz w:val="24"/>
        </w:rPr>
        <w:t>2.2 多推进器水下航行器受约束运动控制与推力分配研究现状</w:t>
      </w:r>
    </w:p>
    <w:p w14:paraId="0F668B6D">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多推进器水下航行器的运动控制需同时考虑</w:t>
      </w:r>
      <w:r>
        <w:rPr>
          <w:rFonts w:ascii="Times New Roman" w:hAnsi="Times New Roman" w:eastAsia="宋体"/>
          <w:b/>
          <w:bCs/>
          <w:strike w:val="0"/>
          <w:color w:val="0000FF"/>
          <w:sz w:val="24"/>
        </w:rPr>
        <w:t>控制律</w:t>
      </w:r>
      <w:r>
        <w:rPr>
          <w:rFonts w:ascii="Times New Roman" w:hAnsi="Times New Roman" w:eastAsia="宋体"/>
          <w:b w:val="0"/>
          <w:strike w:val="0"/>
          <w:sz w:val="24"/>
        </w:rPr>
        <w:t>与执行器的实际输出能力。</w:t>
      </w:r>
      <w:r>
        <w:rPr>
          <w:rFonts w:ascii="Times New Roman" w:hAnsi="Times New Roman" w:eastAsia="宋体"/>
          <w:b w:val="0"/>
          <w:strike w:val="0"/>
          <w:color w:val="0000FF"/>
          <w:sz w:val="24"/>
        </w:rPr>
        <w:t>六自由度动力学描述并不等同于六个运动自由度均可独立控制</w:t>
      </w:r>
      <w:r>
        <w:rPr>
          <w:rFonts w:ascii="Times New Roman" w:hAnsi="Times New Roman" w:eastAsia="宋体"/>
          <w:b w:val="0"/>
          <w:strike w:val="0"/>
          <w:sz w:val="24"/>
        </w:rPr>
        <w:t>；推进器</w:t>
      </w:r>
      <w:r>
        <w:rPr>
          <w:rFonts w:ascii="Times New Roman" w:hAnsi="Times New Roman" w:eastAsia="宋体"/>
          <w:b/>
          <w:bCs/>
          <w:strike w:val="0"/>
          <w:color w:val="0000FF"/>
          <w:sz w:val="24"/>
        </w:rPr>
        <w:t>分配矩阵的秩</w:t>
      </w:r>
      <w:r>
        <w:rPr>
          <w:rFonts w:ascii="Times New Roman" w:hAnsi="Times New Roman" w:eastAsia="宋体"/>
          <w:b w:val="0"/>
          <w:strike w:val="0"/>
          <w:sz w:val="24"/>
        </w:rPr>
        <w:t>、安装方向、推力上下限及推进器动态特性共同影响可实现的广义力和力矩范围。</w:t>
      </w:r>
      <w:r>
        <w:rPr>
          <w:rFonts w:ascii="Times New Roman" w:hAnsi="Times New Roman" w:eastAsia="宋体"/>
          <w:b w:val="0"/>
          <w:strike w:val="0"/>
          <w:color w:val="0000FF"/>
          <w:sz w:val="24"/>
        </w:rPr>
        <w:t>因此，对运动控制方法的评价</w:t>
      </w:r>
      <w:r>
        <w:rPr>
          <w:rFonts w:ascii="Times New Roman" w:hAnsi="Times New Roman" w:eastAsia="宋体"/>
          <w:b w:val="0"/>
          <w:strike w:val="0"/>
          <w:sz w:val="24"/>
        </w:rPr>
        <w:t>除位姿跟踪精度外，还应包括控制指令的可实现性、推力饱和情况及在线求解时间。</w:t>
      </w:r>
    </w:p>
    <w:p w14:paraId="233180F7">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在反馈与鲁棒控制研究中，Yuh</w:t>
      </w:r>
      <w:r>
        <w:rPr>
          <w:rFonts w:ascii="Times New Roman" w:hAnsi="Times New Roman" w:eastAsia="宋体"/>
          <w:b w:val="0"/>
          <w:strike w:val="0"/>
          <w:sz w:val="24"/>
          <w:vertAlign w:val="superscript"/>
        </w:rPr>
        <w:t>[20]</w:t>
      </w:r>
      <w:r>
        <w:rPr>
          <w:rFonts w:ascii="Times New Roman" w:hAnsi="Times New Roman" w:eastAsia="宋体"/>
          <w:b w:val="0"/>
          <w:strike w:val="0"/>
          <w:sz w:val="24"/>
        </w:rPr>
        <w:t>、朱大奇和孙兵</w:t>
      </w:r>
      <w:r>
        <w:rPr>
          <w:rFonts w:ascii="Times New Roman" w:hAnsi="Times New Roman" w:eastAsia="宋体"/>
          <w:b w:val="0"/>
          <w:strike w:val="0"/>
          <w:sz w:val="24"/>
          <w:vertAlign w:val="superscript"/>
        </w:rPr>
        <w:t>[21]</w:t>
      </w:r>
      <w:r>
        <w:rPr>
          <w:rFonts w:ascii="Times New Roman" w:hAnsi="Times New Roman" w:eastAsia="宋体"/>
          <w:b w:val="0"/>
          <w:strike w:val="0"/>
          <w:sz w:val="24"/>
        </w:rPr>
        <w:t>对水下机器人运动控制方法进行了综述。PID控制具有结构简洁、便于工程调试的优点，但在多轴耦合、环境扰动与推力饱和同时存在时，通常需要配合模型补偿、抗饱和或约束处理机制。Yoerger与Slotine</w:t>
      </w:r>
      <w:r>
        <w:rPr>
          <w:rFonts w:ascii="Times New Roman" w:hAnsi="Times New Roman" w:eastAsia="宋体"/>
          <w:b w:val="0"/>
          <w:strike w:val="0"/>
          <w:sz w:val="24"/>
          <w:vertAlign w:val="superscript"/>
        </w:rPr>
        <w:t>[22]</w:t>
      </w:r>
      <w:r>
        <w:rPr>
          <w:rFonts w:ascii="Times New Roman" w:hAnsi="Times New Roman" w:eastAsia="宋体"/>
          <w:b w:val="0"/>
          <w:strike w:val="0"/>
          <w:sz w:val="24"/>
        </w:rPr>
        <w:t>、Healey与Lienard</w:t>
      </w:r>
      <w:r>
        <w:rPr>
          <w:rFonts w:ascii="Times New Roman" w:hAnsi="Times New Roman" w:eastAsia="宋体"/>
          <w:b w:val="0"/>
          <w:strike w:val="0"/>
          <w:sz w:val="24"/>
          <w:vertAlign w:val="superscript"/>
        </w:rPr>
        <w:t>[23]</w:t>
      </w:r>
      <w:r>
        <w:rPr>
          <w:rFonts w:ascii="Times New Roman" w:hAnsi="Times New Roman" w:eastAsia="宋体"/>
          <w:b w:val="0"/>
          <w:strike w:val="0"/>
          <w:sz w:val="24"/>
        </w:rPr>
        <w:t>分别研究了鲁棒轨迹控制与滑模控制；Chu等</w:t>
      </w:r>
      <w:r>
        <w:rPr>
          <w:rFonts w:ascii="Times New Roman" w:hAnsi="Times New Roman" w:eastAsia="宋体"/>
          <w:b w:val="0"/>
          <w:strike w:val="0"/>
          <w:sz w:val="24"/>
          <w:vertAlign w:val="superscript"/>
        </w:rPr>
        <w:t>[24]</w:t>
      </w:r>
      <w:r>
        <w:rPr>
          <w:rFonts w:ascii="Times New Roman" w:hAnsi="Times New Roman" w:eastAsia="宋体"/>
          <w:b w:val="0"/>
          <w:strike w:val="0"/>
          <w:sz w:val="24"/>
        </w:rPr>
        <w:t>在遥控水下航行器的轨迹控制中进一步考虑了推进器动态及输入饱和。相关研究表明，多种反馈控制方法均可针对不确定性或执行器非理想特性采取措施，</w:t>
      </w:r>
      <w:r>
        <w:rPr>
          <w:rFonts w:ascii="Times New Roman" w:hAnsi="Times New Roman" w:eastAsia="宋体"/>
          <w:b w:val="0"/>
          <w:strike w:val="0"/>
          <w:color w:val="0000FF"/>
          <w:sz w:val="24"/>
        </w:rPr>
        <w:t>比较不同方法时应明确其扰动假设、约束形式和验证条件，而不宜仅以是否采用预测控制作为评价依据。</w:t>
      </w:r>
    </w:p>
    <w:p w14:paraId="2BFFBB98">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在模型预测控制研究中，MPC通过滚动优化协调轨迹跟踪误差和控制输入，并可在优化问题中显式描述一定形式的状态及输入约束。张磊等</w:t>
      </w:r>
      <w:r>
        <w:rPr>
          <w:rFonts w:ascii="Times New Roman" w:hAnsi="Times New Roman" w:eastAsia="宋体"/>
          <w:b w:val="0"/>
          <w:strike w:val="0"/>
          <w:sz w:val="24"/>
          <w:vertAlign w:val="superscript"/>
        </w:rPr>
        <w:t>[25]</w:t>
      </w:r>
      <w:r>
        <w:rPr>
          <w:rFonts w:ascii="Times New Roman" w:hAnsi="Times New Roman" w:eastAsia="宋体"/>
          <w:b w:val="0"/>
          <w:strike w:val="0"/>
          <w:sz w:val="24"/>
        </w:rPr>
        <w:t>梳理了水下航行器MPC的研究进展；Heshmati-Alamdari等</w:t>
      </w:r>
      <w:r>
        <w:rPr>
          <w:rFonts w:ascii="Times New Roman" w:hAnsi="Times New Roman" w:eastAsia="宋体"/>
          <w:b w:val="0"/>
          <w:strike w:val="0"/>
          <w:color w:val="0000FF"/>
          <w:sz w:val="24"/>
          <w:vertAlign w:val="superscript"/>
        </w:rPr>
        <w:t>[26-27]</w:t>
      </w:r>
      <w:r>
        <w:rPr>
          <w:rFonts w:ascii="Times New Roman" w:hAnsi="Times New Roman" w:eastAsia="宋体"/>
          <w:b w:val="0"/>
          <w:strike w:val="0"/>
          <w:sz w:val="24"/>
        </w:rPr>
        <w:t>分别面向受限工作空间及欠驱动水下航行器研究鲁棒非线性MPC，体现了预测控制在协调跟踪性能、扰动影响和输入约束方面的应用潜力。</w:t>
      </w:r>
      <w:r>
        <w:rPr>
          <w:rFonts w:ascii="Times New Roman" w:hAnsi="Times New Roman" w:eastAsia="宋体"/>
          <w:b w:val="0"/>
          <w:strike w:val="0"/>
          <w:color w:val="0000FF"/>
          <w:sz w:val="24"/>
        </w:rPr>
        <w:t>不过，相关研究的自由度配置、推进器布局及计算平台不尽相同，不能直接推断目标八推进器构型下的推力可行性与PX4运行开销。</w:t>
      </w:r>
      <w:r>
        <w:rPr>
          <w:rFonts w:ascii="Times New Roman" w:hAnsi="Times New Roman" w:eastAsia="宋体"/>
          <w:b w:val="0"/>
          <w:strike w:val="0"/>
          <w:sz w:val="24"/>
        </w:rPr>
        <w:t>线性化MPC与非线性MPC之间的选择，仍需结合模型误差、优化规模和控制周期综合判断。</w:t>
      </w:r>
    </w:p>
    <w:p w14:paraId="1FE49D99">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在控制分配研究中，Johansen与Fossen</w:t>
      </w:r>
      <w:r>
        <w:rPr>
          <w:rFonts w:ascii="Times New Roman" w:hAnsi="Times New Roman" w:eastAsia="宋体"/>
          <w:b w:val="0"/>
          <w:strike w:val="0"/>
          <w:sz w:val="24"/>
          <w:vertAlign w:val="superscript"/>
        </w:rPr>
        <w:t>[28]</w:t>
      </w:r>
      <w:r>
        <w:rPr>
          <w:rFonts w:ascii="Times New Roman" w:hAnsi="Times New Roman" w:eastAsia="宋体"/>
          <w:b w:val="0"/>
          <w:strike w:val="0"/>
          <w:sz w:val="24"/>
        </w:rPr>
        <w:t>系统梳理了控制分配方法；Bodson</w:t>
      </w:r>
      <w:r>
        <w:rPr>
          <w:rFonts w:ascii="Times New Roman" w:hAnsi="Times New Roman" w:eastAsia="宋体"/>
          <w:b w:val="0"/>
          <w:strike w:val="0"/>
          <w:sz w:val="24"/>
          <w:vertAlign w:val="superscript"/>
        </w:rPr>
        <w:t>[29]</w:t>
      </w:r>
      <w:r>
        <w:rPr>
          <w:rFonts w:ascii="Times New Roman" w:hAnsi="Times New Roman" w:eastAsia="宋体"/>
          <w:b w:val="0"/>
          <w:strike w:val="0"/>
          <w:sz w:val="24"/>
        </w:rPr>
        <w:t>和Härkegård</w:t>
      </w:r>
      <w:r>
        <w:rPr>
          <w:rFonts w:ascii="Times New Roman" w:hAnsi="Times New Roman" w:eastAsia="宋体"/>
          <w:b w:val="0"/>
          <w:strike w:val="0"/>
          <w:sz w:val="24"/>
          <w:vertAlign w:val="superscript"/>
        </w:rPr>
        <w:t>[30]</w:t>
      </w:r>
      <w:r>
        <w:rPr>
          <w:rFonts w:ascii="Times New Roman" w:hAnsi="Times New Roman" w:eastAsia="宋体"/>
          <w:b w:val="0"/>
          <w:strike w:val="0"/>
          <w:sz w:val="24"/>
        </w:rPr>
        <w:t>研究了包含执行器约束的优化分配及其求解方法。国内研究方面，程卫平等</w:t>
      </w:r>
      <w:r>
        <w:rPr>
          <w:rFonts w:ascii="Times New Roman" w:hAnsi="Times New Roman" w:eastAsia="宋体"/>
          <w:b w:val="0"/>
          <w:strike w:val="0"/>
          <w:sz w:val="24"/>
          <w:vertAlign w:val="superscript"/>
        </w:rPr>
        <w:t>[31]</w:t>
      </w:r>
      <w:r>
        <w:rPr>
          <w:rFonts w:ascii="Times New Roman" w:hAnsi="Times New Roman" w:eastAsia="宋体"/>
          <w:b w:val="0"/>
          <w:strike w:val="0"/>
          <w:sz w:val="24"/>
        </w:rPr>
        <w:t>讨论了水下机器人推力分配，孙功武等</w:t>
      </w:r>
      <w:r>
        <w:rPr>
          <w:rFonts w:ascii="Times New Roman" w:hAnsi="Times New Roman" w:eastAsia="宋体"/>
          <w:b w:val="0"/>
          <w:strike w:val="0"/>
          <w:sz w:val="24"/>
          <w:vertAlign w:val="superscript"/>
        </w:rPr>
        <w:t>[32]</w:t>
      </w:r>
      <w:r>
        <w:rPr>
          <w:rFonts w:ascii="Times New Roman" w:hAnsi="Times New Roman" w:eastAsia="宋体"/>
          <w:b w:val="0"/>
          <w:strike w:val="0"/>
          <w:sz w:val="24"/>
        </w:rPr>
        <w:t>提出了混合推进ROV的多级分配策略；Li等</w:t>
      </w:r>
      <w:r>
        <w:rPr>
          <w:rFonts w:ascii="Times New Roman" w:hAnsi="Times New Roman" w:eastAsia="宋体"/>
          <w:b w:val="0"/>
          <w:strike w:val="0"/>
          <w:sz w:val="24"/>
          <w:vertAlign w:val="superscript"/>
        </w:rPr>
        <w:t>[33]</w:t>
      </w:r>
      <w:r>
        <w:rPr>
          <w:rFonts w:ascii="Times New Roman" w:hAnsi="Times New Roman" w:eastAsia="宋体"/>
          <w:b w:val="0"/>
          <w:strike w:val="0"/>
          <w:sz w:val="24"/>
        </w:rPr>
        <w:t>则研究了冗余推进器故障条件下的容错控制。相较于计算过程较为直接的广义逆分配，优化分配便于引入推力边界、分配权重等约束条件，但其求解代价与具体目标函数、约束规模及实现方式有关。上述成果为多推进器的约束处理提供了方法基础。</w:t>
      </w:r>
    </w:p>
    <w:p w14:paraId="0302DFBC">
      <w:pPr>
        <w:pStyle w:val="10"/>
        <w:widowControl/>
        <w:spacing w:before="180" w:beforeLines="0" w:after="180" w:afterLines="0" w:line="360" w:lineRule="auto"/>
        <w:ind w:left="0" w:firstLine="480" w:firstLineChars="200"/>
        <w:jc w:val="both"/>
        <w:rPr>
          <w:color w:val="0000FF"/>
        </w:rPr>
      </w:pPr>
      <w:r>
        <w:rPr>
          <w:rFonts w:ascii="Times New Roman" w:hAnsi="Times New Roman" w:eastAsia="宋体"/>
          <w:b w:val="0"/>
          <w:strike w:val="0"/>
          <w:color w:val="0000FF"/>
          <w:sz w:val="24"/>
        </w:rPr>
        <w:t>综合相关成果</w:t>
      </w:r>
      <w:r>
        <w:rPr>
          <w:rFonts w:ascii="Times New Roman" w:hAnsi="Times New Roman" w:eastAsia="宋体"/>
          <w:b w:val="0"/>
          <w:strike w:val="0"/>
          <w:sz w:val="24"/>
        </w:rPr>
        <w:t>，运动控制律与推力分配之间的协调是多推进器受约束控制的重要问题。当上层期望广义力超出推进器的可实现范围时，下层分配即使满足单个推进器限幅，仍可能产生分配残差并降低跟踪性能；而将全部推进器约束直接纳入上层预测优化，则可能增加求解负担。因此，</w:t>
      </w:r>
      <w:r>
        <w:rPr>
          <w:rFonts w:ascii="Times New Roman" w:hAnsi="Times New Roman" w:eastAsia="宋体"/>
          <w:b w:val="0"/>
          <w:strike w:val="0"/>
          <w:color w:val="0000FF"/>
          <w:sz w:val="24"/>
        </w:rPr>
        <w:t>已有研究所体现的发展方向</w:t>
      </w:r>
      <w:r>
        <w:rPr>
          <w:rFonts w:ascii="Times New Roman" w:hAnsi="Times New Roman" w:eastAsia="宋体"/>
          <w:b w:val="0"/>
          <w:strike w:val="0"/>
          <w:sz w:val="24"/>
        </w:rPr>
        <w:t>，</w:t>
      </w:r>
      <w:r>
        <w:rPr>
          <w:rFonts w:ascii="Times New Roman" w:hAnsi="Times New Roman" w:eastAsia="宋体"/>
          <w:b w:val="0"/>
          <w:strike w:val="0"/>
          <w:color w:val="0000FF"/>
          <w:sz w:val="24"/>
        </w:rPr>
        <w:t>是在推力约束、控制精度与实时计算之间进行协同权衡，其实际效果仍需结合具体推进器几何配置加以评价。</w:t>
      </w:r>
    </w:p>
    <w:p w14:paraId="07F1A36C">
      <w:pPr>
        <w:pStyle w:val="10"/>
        <w:keepNext/>
        <w:widowControl/>
        <w:spacing w:before="180" w:beforeLines="50" w:after="180" w:afterLines="50" w:line="360" w:lineRule="auto"/>
        <w:ind w:left="0" w:firstLine="480" w:firstLineChars="200"/>
        <w:jc w:val="left"/>
      </w:pPr>
      <w:r>
        <w:rPr>
          <w:rFonts w:ascii="Times New Roman" w:hAnsi="Times New Roman" w:eastAsia="黑体"/>
          <w:b/>
          <w:strike w:val="0"/>
          <w:sz w:val="24"/>
        </w:rPr>
        <w:t>2.3 PX4平台水下适配与闭环仿真验证现状</w:t>
      </w:r>
    </w:p>
    <w:p w14:paraId="1E6BC54A">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水下运动控制算法的工程适用性不仅取决于独立的数值仿真结果，还受到飞控架构、控制接口、执行器映射及闭环时序的影响。围绕PX4平台的相关成果和公开文档，</w:t>
      </w:r>
      <w:r>
        <w:rPr>
          <w:rFonts w:ascii="Times New Roman" w:hAnsi="Times New Roman" w:eastAsia="宋体"/>
          <w:b w:val="0"/>
          <w:strike w:val="0"/>
          <w:color w:val="0000FF"/>
          <w:sz w:val="24"/>
        </w:rPr>
        <w:t>应区分</w:t>
      </w:r>
      <w:r>
        <w:rPr>
          <w:rFonts w:ascii="Times New Roman" w:hAnsi="Times New Roman" w:eastAsia="宋体"/>
          <w:b w:val="0"/>
          <w:strike w:val="0"/>
          <w:sz w:val="24"/>
        </w:rPr>
        <w:t>通用软件功能、具体水下机型已实现的控制模式，以及研究型控制器在软件在环环境中的可验证能力。</w:t>
      </w:r>
    </w:p>
    <w:p w14:paraId="3138A239">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PX4采用模块化软件架构。Meier等</w:t>
      </w:r>
      <w:r>
        <w:rPr>
          <w:rFonts w:ascii="Times New Roman" w:hAnsi="Times New Roman" w:eastAsia="宋体"/>
          <w:b w:val="0"/>
          <w:strike w:val="0"/>
          <w:sz w:val="24"/>
          <w:vertAlign w:val="superscript"/>
        </w:rPr>
        <w:t>[34]</w:t>
      </w:r>
      <w:r>
        <w:rPr>
          <w:rFonts w:ascii="Times New Roman" w:hAnsi="Times New Roman" w:eastAsia="宋体"/>
          <w:b w:val="0"/>
          <w:strike w:val="0"/>
          <w:sz w:val="24"/>
        </w:rPr>
        <w:t>介绍了其面向嵌入式平台的机器人软件框架；根据PX4官方开发文档，模块可经由uORB交换消息，Control Allocator依据机型几何和配置参数，将期望推力与力矩转换为执行器指令</w:t>
      </w:r>
      <w:r>
        <w:rPr>
          <w:rFonts w:ascii="Times New Roman" w:hAnsi="Times New Roman" w:eastAsia="宋体"/>
          <w:b w:val="0"/>
          <w:strike w:val="0"/>
          <w:sz w:val="24"/>
          <w:vertAlign w:val="superscript"/>
        </w:rPr>
        <w:t>[35]</w:t>
      </w:r>
      <w:r>
        <w:rPr>
          <w:rFonts w:ascii="Times New Roman" w:hAnsi="Times New Roman" w:eastAsia="宋体"/>
          <w:b w:val="0"/>
          <w:strike w:val="0"/>
          <w:sz w:val="24"/>
        </w:rPr>
        <w:t>。上述架构为研究型控制器的集成提供了接口条件，</w:t>
      </w:r>
      <w:r>
        <w:rPr>
          <w:rFonts w:ascii="Times New Roman" w:hAnsi="Times New Roman" w:eastAsia="宋体"/>
          <w:b/>
          <w:bCs/>
          <w:strike w:val="0"/>
          <w:color w:val="0000FF"/>
          <w:sz w:val="24"/>
        </w:rPr>
        <w:t>但通用控制分配功能并不能直接证明特定八推进器构型已具备受约束最优推力分配能力。其实际可用性仍取决于固件版本、推进器几何参数、指令限幅方式及控制器接入层级。</w:t>
      </w:r>
    </w:p>
    <w:p w14:paraId="0A446428">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在水下机型支持方面，PX4官方文档将UUV功能标注为实验性，并说明其具备基础水下机型支持</w:t>
      </w:r>
      <w:r>
        <w:rPr>
          <w:rFonts w:ascii="Times New Roman" w:hAnsi="Times New Roman" w:eastAsia="宋体"/>
          <w:b w:val="0"/>
          <w:strike w:val="0"/>
          <w:sz w:val="24"/>
          <w:vertAlign w:val="superscript"/>
        </w:rPr>
        <w:t>[4]</w:t>
      </w:r>
      <w:r>
        <w:rPr>
          <w:rFonts w:ascii="Times New Roman" w:hAnsi="Times New Roman" w:eastAsia="宋体"/>
          <w:b w:val="0"/>
          <w:strike w:val="0"/>
          <w:sz w:val="24"/>
        </w:rPr>
        <w:t>。BlueROV2 Heavy机型文档列出了</w:t>
      </w:r>
      <w:r>
        <w:rPr>
          <w:rFonts w:ascii="Times New Roman" w:hAnsi="Times New Roman" w:eastAsia="宋体"/>
          <w:b/>
          <w:bCs/>
          <w:strike w:val="0"/>
          <w:color w:val="0000FF"/>
          <w:sz w:val="24"/>
        </w:rPr>
        <w:t>Manual、Stabilized、Acro、Altitude和Position</w:t>
      </w:r>
      <w:r>
        <w:rPr>
          <w:rFonts w:ascii="Times New Roman" w:hAnsi="Times New Roman" w:eastAsia="宋体"/>
          <w:b w:val="0"/>
          <w:strike w:val="0"/>
          <w:sz w:val="24"/>
        </w:rPr>
        <w:t>等控制模式；其中Position模式主要涉及平移及艏向位置保持，横滚与俯仰以姿态稳定为主</w:t>
      </w:r>
      <w:r>
        <w:rPr>
          <w:rFonts w:ascii="Times New Roman" w:hAnsi="Times New Roman" w:eastAsia="宋体"/>
          <w:b w:val="0"/>
          <w:strike w:val="0"/>
          <w:sz w:val="24"/>
          <w:vertAlign w:val="superscript"/>
        </w:rPr>
        <w:t>[36]</w:t>
      </w:r>
      <w:r>
        <w:rPr>
          <w:rFonts w:ascii="Times New Roman" w:hAnsi="Times New Roman" w:eastAsia="宋体"/>
          <w:b w:val="0"/>
          <w:strike w:val="0"/>
          <w:sz w:val="24"/>
        </w:rPr>
        <w:t>。</w:t>
      </w:r>
      <w:r>
        <w:rPr>
          <w:rFonts w:ascii="Times New Roman" w:hAnsi="Times New Roman" w:eastAsia="宋体"/>
          <w:b w:val="0"/>
          <w:strike w:val="0"/>
          <w:color w:val="0000FF"/>
          <w:sz w:val="24"/>
        </w:rPr>
        <w:t>因而，已支持八推进器水下机型并不等于已经实现任意六自由度位姿轨迹的受约束MPC控制。</w:t>
      </w:r>
      <w:r>
        <w:rPr>
          <w:rFonts w:ascii="Times New Roman" w:hAnsi="Times New Roman" w:eastAsia="宋体"/>
          <w:b w:val="0"/>
          <w:strike w:val="0"/>
          <w:sz w:val="24"/>
        </w:rPr>
        <w:t>与此同时，PX4提供Offboard外部控制接口，但其设定值类型、状态估计要求及失联保护条件</w:t>
      </w:r>
      <w:r>
        <w:rPr>
          <w:rFonts w:ascii="Times New Roman" w:hAnsi="Times New Roman" w:eastAsia="宋体"/>
          <w:b w:val="0"/>
          <w:strike w:val="0"/>
          <w:color w:val="0000FF"/>
          <w:sz w:val="24"/>
        </w:rPr>
        <w:t>仍应结合目标机型与选定固件版本核对</w:t>
      </w:r>
      <w:r>
        <w:rPr>
          <w:rFonts w:ascii="Times New Roman" w:hAnsi="Times New Roman" w:eastAsia="宋体"/>
          <w:b w:val="0"/>
          <w:strike w:val="0"/>
          <w:color w:val="0000FF"/>
          <w:sz w:val="24"/>
          <w:vertAlign w:val="superscript"/>
        </w:rPr>
        <w:t>[37]</w:t>
      </w:r>
      <w:r>
        <w:rPr>
          <w:rFonts w:ascii="Times New Roman" w:hAnsi="Times New Roman" w:eastAsia="宋体"/>
          <w:b w:val="0"/>
          <w:strike w:val="0"/>
          <w:color w:val="0000FF"/>
          <w:sz w:val="24"/>
        </w:rPr>
        <w:t>。尤其是相关机型页面包含历史版本标识，不能将文档中列出的控制能力不加区分地推广至所有固件版本。</w:t>
      </w:r>
    </w:p>
    <w:p w14:paraId="50AD3A8A">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在仿真研究方面，von Benzon等</w:t>
      </w:r>
      <w:r>
        <w:rPr>
          <w:rFonts w:ascii="Times New Roman" w:hAnsi="Times New Roman" w:eastAsia="宋体"/>
          <w:b w:val="0"/>
          <w:strike w:val="0"/>
          <w:sz w:val="24"/>
          <w:vertAlign w:val="superscript"/>
        </w:rPr>
        <w:t>[10]</w:t>
      </w:r>
      <w:r>
        <w:rPr>
          <w:rFonts w:ascii="Times New Roman" w:hAnsi="Times New Roman" w:eastAsia="宋体"/>
          <w:b w:val="0"/>
          <w:strike w:val="0"/>
          <w:sz w:val="24"/>
        </w:rPr>
        <w:t>构建了基于MATLAB/Simulink的BlueROV2开源基准模型，将水动力、推进器、浮重力、水流及系缆等因素纳入仿真，并对部分模型进行试验校验，为控制方法的对比验证提供了参考。</w:t>
      </w:r>
      <w:r>
        <w:rPr>
          <w:rFonts w:ascii="Times New Roman" w:hAnsi="Times New Roman" w:eastAsia="宋体"/>
          <w:b w:val="0"/>
          <w:strike w:val="0"/>
          <w:color w:val="0000FF"/>
          <w:sz w:val="24"/>
        </w:rPr>
        <w:t>但这一成果并不直接证明模型已经与PX4或Gazebo完成闭环接口集成。</w:t>
      </w:r>
      <w:r>
        <w:rPr>
          <w:rFonts w:ascii="Times New Roman" w:hAnsi="Times New Roman" w:eastAsia="宋体"/>
          <w:b w:val="0"/>
          <w:strike w:val="0"/>
          <w:sz w:val="24"/>
        </w:rPr>
        <w:t>对于基于PX4的软件在环（SITL）验证，</w:t>
      </w:r>
      <w:r>
        <w:rPr>
          <w:rFonts w:ascii="Times New Roman" w:hAnsi="Times New Roman" w:eastAsia="宋体"/>
          <w:b w:val="0"/>
          <w:strike w:val="0"/>
          <w:color w:val="0000FF"/>
          <w:sz w:val="24"/>
        </w:rPr>
        <w:t>除动力学模型本身外，还应关注状态输入、控制输出、推力分配和执行器指令之间的时序一致性；仿真环境的传感器、推进器和通信接口亦需与目标机型相匹配。</w:t>
      </w:r>
    </w:p>
    <w:p w14:paraId="5040DF19">
      <w:pPr>
        <w:pStyle w:val="10"/>
        <w:widowControl/>
        <w:spacing w:before="180" w:beforeLines="0" w:after="180" w:afterLines="0" w:line="360" w:lineRule="auto"/>
        <w:ind w:left="0" w:firstLine="480" w:firstLineChars="200"/>
        <w:jc w:val="both"/>
      </w:pPr>
      <w:r>
        <w:rPr>
          <w:rFonts w:ascii="Times New Roman" w:hAnsi="Times New Roman" w:eastAsia="宋体"/>
          <w:b w:val="0"/>
          <w:strike w:val="0"/>
          <w:sz w:val="24"/>
        </w:rPr>
        <w:t>总体而言，PX4的模块化架构及已有水下仿真模型为控制算法验证提供了可利用的工具，</w:t>
      </w:r>
      <w:r>
        <w:rPr>
          <w:rFonts w:ascii="Times New Roman" w:hAnsi="Times New Roman" w:eastAsia="宋体"/>
          <w:b w:val="0"/>
          <w:strike w:val="0"/>
          <w:color w:val="0000FF"/>
          <w:sz w:val="24"/>
        </w:rPr>
        <w:t>但“动力学模型完成仿真”“控制算法能够独立求解”与“算法在特定PX4水下机型上实现闭环运行”对应不同的证据层级</w:t>
      </w:r>
      <w:r>
        <w:rPr>
          <w:rFonts w:ascii="Times New Roman" w:hAnsi="Times New Roman" w:eastAsia="宋体"/>
          <w:b w:val="0"/>
          <w:strike w:val="0"/>
          <w:sz w:val="24"/>
        </w:rPr>
        <w:t>。因此，</w:t>
      </w:r>
      <w:r>
        <w:rPr>
          <w:rFonts w:ascii="Times New Roman" w:hAnsi="Times New Roman" w:eastAsia="宋体"/>
          <w:b w:val="0"/>
          <w:strike w:val="0"/>
          <w:color w:val="0000FF"/>
          <w:sz w:val="24"/>
        </w:rPr>
        <w:t>工程适用性的判断应以明确的软件版本和试验条件为前提，同时报告控制精度、推力约束满足情况及计算时延，而不能仅依据理想数值仿真结果。</w:t>
      </w:r>
    </w:p>
    <w:p w14:paraId="5A7D510D">
      <w:pPr>
        <w:pStyle w:val="10"/>
        <w:keepNext/>
        <w:widowControl/>
        <w:spacing w:before="180" w:beforeLines="50" w:after="180" w:afterLines="50" w:line="360" w:lineRule="auto"/>
        <w:ind w:left="0" w:firstLine="480" w:firstLineChars="200"/>
        <w:jc w:val="left"/>
      </w:pPr>
      <w:r>
        <w:rPr>
          <w:rFonts w:ascii="Times New Roman" w:hAnsi="Times New Roman" w:eastAsia="黑体"/>
          <w:b/>
          <w:strike w:val="0"/>
          <w:sz w:val="24"/>
        </w:rPr>
        <w:t>2.4 发展趋势与研究问题归纳</w:t>
      </w:r>
    </w:p>
    <w:p w14:paraId="6FC2E8D7">
      <w:pPr>
        <w:pStyle w:val="10"/>
        <w:widowControl/>
        <w:spacing w:before="180" w:beforeLines="0" w:after="180" w:afterLines="0" w:line="360" w:lineRule="auto"/>
        <w:ind w:left="0" w:firstLine="480" w:firstLineChars="200"/>
        <w:jc w:val="both"/>
        <w:rPr>
          <w:color w:val="0000FF"/>
        </w:rPr>
      </w:pPr>
      <w:r>
        <w:rPr>
          <w:rFonts w:ascii="Times New Roman" w:hAnsi="Times New Roman" w:eastAsia="宋体"/>
          <w:b w:val="0"/>
          <w:strike w:val="0"/>
          <w:sz w:val="24"/>
        </w:rPr>
        <w:t>从上述代表性成果可见，</w:t>
      </w:r>
      <w:r>
        <w:rPr>
          <w:rFonts w:ascii="Times New Roman" w:hAnsi="Times New Roman" w:eastAsia="宋体"/>
          <w:b w:val="0"/>
          <w:strike w:val="0"/>
          <w:color w:val="0000FF"/>
          <w:sz w:val="24"/>
        </w:rPr>
        <w:t>水下航行器运动控制研究呈现出三个相互关联的技术取向：在模型方面，更重视目标工况下的预测能力与模型复杂度的平衡；在控制方面，更重视多轴耦合、外部扰动及执行器约束的协调处理；在验证方面，逐步从独立算法仿真转向面向具体软件与执行机构的闭环性能评价。这些取向表明，模型、控制、分配和平台验证的衔接日益重要。</w:t>
      </w:r>
    </w:p>
    <w:p w14:paraId="7DE03E3B">
      <w:pPr>
        <w:pStyle w:val="10"/>
        <w:widowControl/>
        <w:spacing w:before="180" w:beforeLines="0" w:after="180" w:afterLines="0" w:line="360" w:lineRule="auto"/>
        <w:ind w:left="0" w:firstLine="480" w:firstLineChars="200"/>
        <w:jc w:val="both"/>
        <w:rPr>
          <w:color w:val="0000FF"/>
        </w:rPr>
      </w:pPr>
      <w:r>
        <w:rPr>
          <w:rFonts w:ascii="Times New Roman" w:hAnsi="Times New Roman" w:eastAsia="宋体"/>
          <w:b w:val="0"/>
          <w:strike w:val="0"/>
          <w:color w:val="0000FF"/>
          <w:sz w:val="24"/>
        </w:rPr>
        <w:t>在模型层面，通用六自由度动力学框架和已有参数辨识方法能够提供理论依据，但相关参数与模型精度结论具有构型和工况依赖性。仅凭上述文献，尚不能确定目标八推进器航行器在低速悬停及多轴联动条件下所需的预测模型精度与简化程度。</w:t>
      </w:r>
    </w:p>
    <w:p w14:paraId="52EDB845">
      <w:pPr>
        <w:pStyle w:val="10"/>
        <w:widowControl/>
        <w:spacing w:before="180" w:beforeLines="0" w:after="180" w:afterLines="0" w:line="360" w:lineRule="auto"/>
        <w:ind w:left="0" w:firstLine="480" w:firstLineChars="200"/>
        <w:jc w:val="both"/>
        <w:rPr>
          <w:color w:val="0000FF"/>
        </w:rPr>
      </w:pPr>
      <w:r>
        <w:rPr>
          <w:rFonts w:ascii="Times New Roman" w:hAnsi="Times New Roman" w:eastAsia="宋体"/>
          <w:b w:val="0"/>
          <w:strike w:val="0"/>
          <w:color w:val="0000FF"/>
          <w:sz w:val="24"/>
        </w:rPr>
        <w:t>在控制与执行层面，PID、鲁棒控制、MPC及优化推力分配均已有研究基础，但不同方法的约束处理层级及求解代价存在差异。对于具体八推进器构型，控制优化中的输入约束如何与推进器可实现广义力范围相对应，以及跟踪误差、分配残差和计算耗时如何兼顾，仍需结合统一工况进行比较。</w:t>
      </w:r>
    </w:p>
    <w:p w14:paraId="32EADD8B">
      <w:pPr>
        <w:pStyle w:val="10"/>
        <w:widowControl/>
        <w:spacing w:before="180" w:beforeLines="0" w:after="180" w:afterLines="0" w:line="360" w:lineRule="auto"/>
        <w:ind w:left="0" w:firstLine="480" w:firstLineChars="200"/>
        <w:jc w:val="both"/>
        <w:rPr>
          <w:color w:val="0000FF"/>
        </w:rPr>
      </w:pPr>
      <w:r>
        <w:rPr>
          <w:rFonts w:ascii="Times New Roman" w:hAnsi="Times New Roman" w:eastAsia="宋体"/>
          <w:b w:val="0"/>
          <w:strike w:val="0"/>
          <w:color w:val="0000FF"/>
          <w:sz w:val="24"/>
        </w:rPr>
        <w:t>在平台验证层面，PX4的UUV基础支持与通用控制分配架构提供了集成条件，但官方功能说明和独立动力学仿真成果尚不能直接作为目标机型MPC闭环运行的验证证据。选定固件版本下的控制接口、执行器配置及SITL仿真时序，均会影响验证结果的可复现性。</w:t>
      </w:r>
    </w:p>
    <w:p w14:paraId="6AEA0A1B">
      <w:pPr>
        <w:pStyle w:val="10"/>
        <w:widowControl/>
        <w:spacing w:before="180" w:beforeLines="0" w:after="180" w:afterLines="0" w:line="360" w:lineRule="auto"/>
        <w:ind w:left="0" w:firstLine="480" w:firstLineChars="200"/>
        <w:jc w:val="both"/>
        <w:rPr>
          <w:color w:val="0000FF"/>
        </w:rPr>
      </w:pPr>
      <w:r>
        <w:rPr>
          <w:rFonts w:ascii="Times New Roman" w:hAnsi="Times New Roman" w:eastAsia="宋体"/>
          <w:b w:val="0"/>
          <w:strike w:val="0"/>
          <w:color w:val="0000FF"/>
          <w:sz w:val="24"/>
        </w:rPr>
        <w:t>综上，现有研究分别为动力学模型、受约束控制及开源平台集成提供了方法基础，但这些成果在目标八推进器航行器上的协同适用性仍需验证。本节据此界定研究问题及其证据边界；具体的模型选取、控制器设计、软件适配方式和性能评价指标，将在后续“毕业论文方案介绍”中展开。</w:t>
      </w:r>
    </w:p>
    <w:permEnd w:id="10"/>
    <w:p w14:paraId="6385DA06">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二、</w:t>
      </w:r>
      <w:permStart w:id="11" w:edGrp="everyone"/>
      <w:r>
        <w:rPr>
          <w:rFonts w:hint="eastAsia" w:ascii="Times New Roman" w:hAnsi="Times New Roman" w:eastAsia="黑体" w:cs="Times New Roman"/>
          <w:b w:val="0"/>
          <w:sz w:val="28"/>
        </w:rPr>
        <w:t>毕业论文</w:t>
      </w:r>
      <w:permEnd w:id="11"/>
      <w:r>
        <w:rPr>
          <w:rFonts w:hint="eastAsia" w:ascii="Times New Roman" w:hAnsi="Times New Roman" w:eastAsia="黑体" w:cs="Times New Roman"/>
          <w:b w:val="0"/>
          <w:sz w:val="28"/>
        </w:rPr>
        <w:t>方案介绍</w:t>
      </w:r>
    </w:p>
    <w:p w14:paraId="2109F3BF">
      <w:pPr>
        <w:pStyle w:val="9"/>
        <w:spacing w:before="120" w:beforeLines="50" w:after="120" w:afterLines="50" w:line="360" w:lineRule="auto"/>
        <w:ind w:firstLine="0" w:firstLineChars="0"/>
        <w:rPr>
          <w:rFonts w:ascii="黑体" w:hAnsi="黑体"/>
          <w:sz w:val="24"/>
        </w:rPr>
      </w:pPr>
      <w:permStart w:id="12"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主要研究内容</w:t>
      </w:r>
    </w:p>
    <w:p w14:paraId="1623E866">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315FC749">
      <w:pPr>
        <w:pStyle w:val="9"/>
        <w:spacing w:before="120" w:beforeLines="50" w:after="120" w:afterLines="50" w:line="360" w:lineRule="auto"/>
        <w:ind w:firstLine="0" w:firstLineChars="0"/>
        <w:rPr>
          <w:rFonts w:ascii="黑体" w:hAnsi="黑体"/>
          <w:sz w:val="24"/>
        </w:rPr>
      </w:pPr>
      <w:r>
        <w:rPr>
          <w:rFonts w:hint="eastAsia" w:ascii="Times New Roman" w:hAnsi="Times New Roman" w:eastAsia="黑体" w:cs="Times New Roman"/>
          <w:b w:val="0"/>
          <w:sz w:val="24"/>
        </w:rPr>
        <w:t>2</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研究方案</w:t>
      </w:r>
    </w:p>
    <w:p w14:paraId="3A2A67D5">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bookmarkStart w:id="0" w:name="_GoBack"/>
      <w:bookmarkEnd w:id="0"/>
    </w:p>
    <w:p w14:paraId="6D664144">
      <w:pPr>
        <w:pStyle w:val="9"/>
        <w:spacing w:before="120" w:beforeLines="50" w:after="120" w:afterLines="50" w:line="360" w:lineRule="auto"/>
        <w:ind w:firstLine="0" w:firstLineChars="0"/>
        <w:rPr>
          <w:rFonts w:hint="eastAsia" w:ascii="黑体" w:hAnsi="黑体"/>
          <w:sz w:val="24"/>
        </w:rPr>
      </w:pPr>
      <w:r>
        <w:rPr>
          <w:rFonts w:hint="eastAsia" w:ascii="Times New Roman" w:hAnsi="Times New Roman" w:eastAsia="黑体" w:cs="Times New Roman"/>
          <w:b w:val="0"/>
          <w:sz w:val="24"/>
        </w:rPr>
        <w:t>3</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工作</w:t>
      </w:r>
      <w:r>
        <w:rPr>
          <w:rFonts w:ascii="Times New Roman" w:hAnsi="Times New Roman" w:eastAsia="黑体" w:cs="Times New Roman"/>
          <w:b w:val="0"/>
          <w:sz w:val="24"/>
        </w:rPr>
        <w:t>进度安排</w:t>
      </w:r>
    </w:p>
    <w:p w14:paraId="6390AB4A">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ermEnd w:id="12"/>
    <w:p w14:paraId="41E5FE5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三、</w:t>
      </w:r>
      <w:permStart w:id="13" w:edGrp="everyone"/>
      <w:r>
        <w:rPr>
          <w:rFonts w:hint="eastAsia" w:ascii="Times New Roman" w:hAnsi="Times New Roman" w:eastAsia="黑体" w:cs="Times New Roman"/>
          <w:b w:val="0"/>
          <w:sz w:val="28"/>
        </w:rPr>
        <w:t>毕业论文</w:t>
      </w:r>
      <w:permEnd w:id="13"/>
      <w:r>
        <w:rPr>
          <w:rFonts w:hint="eastAsia" w:ascii="Times New Roman" w:hAnsi="Times New Roman" w:eastAsia="黑体" w:cs="Times New Roman"/>
          <w:b w:val="0"/>
          <w:sz w:val="28"/>
        </w:rPr>
        <w:t>的主要参考文献</w:t>
      </w:r>
    </w:p>
    <w:p w14:paraId="2F5BFBEB">
      <w:pPr>
        <w:pStyle w:val="11"/>
        <w:spacing w:before="0" w:beforeLines="0" w:after="0" w:afterLines="0" w:line="360" w:lineRule="auto"/>
        <w:ind w:left="420" w:hanging="420"/>
        <w:rPr>
          <w:rFonts w:ascii="宋体" w:hAnsi="宋体"/>
        </w:rPr>
      </w:pPr>
      <w:permStart w:id="14" w:edGrp="everyone"/>
      <w:r>
        <w:rPr>
          <w:rFonts w:ascii="Times New Roman" w:hAnsi="Times New Roman" w:eastAsia="宋体" w:cs="Times New Roman"/>
          <w:b w:val="0"/>
          <w:sz w:val="24"/>
        </w:rPr>
        <w:t>[1] 工业和信息化部, 国家发展和改革委员会, 科学技术部, 等. “十四五”机器人产业发展规划[J]. 中华人民共和国工业和信息化部公报, 2021(12): 20-27.</w:t>
      </w:r>
    </w:p>
    <w:p w14:paraId="761C4D0F">
      <w:pPr>
        <w:pStyle w:val="11"/>
        <w:spacing w:before="0" w:beforeLines="0" w:after="0" w:afterLines="0" w:line="360" w:lineRule="auto"/>
        <w:ind w:left="420" w:hanging="420"/>
      </w:pPr>
      <w:r>
        <w:rPr>
          <w:rFonts w:ascii="Times New Roman" w:hAnsi="Times New Roman" w:eastAsia="宋体" w:cs="Times New Roman"/>
          <w:b w:val="0"/>
          <w:sz w:val="24"/>
        </w:rPr>
        <w:t>[2] 工业和信息化部, 教育部, 科学技术部, 等. “机器人+”应用行动实施方案[J]. 中华人民共和国工业和信息化部公报, 2023(1): 18-24.</w:t>
      </w:r>
    </w:p>
    <w:p w14:paraId="30B13CA2">
      <w:pPr>
        <w:pStyle w:val="11"/>
        <w:spacing w:before="0" w:beforeLines="0" w:after="0" w:afterLines="0" w:line="360" w:lineRule="auto"/>
        <w:ind w:left="420" w:hanging="420"/>
      </w:pPr>
      <w:r>
        <w:rPr>
          <w:rFonts w:ascii="Times New Roman" w:hAnsi="Times New Roman" w:eastAsia="宋体" w:cs="Times New Roman"/>
          <w:b w:val="0"/>
          <w:sz w:val="24"/>
        </w:rPr>
        <w:t>[3] FOSSEN T I. Handbook of Marine Craft Hydrodynamics and Motion Control[M]. 2nd ed. Chichester, UK: John Wiley &amp; Sons, 2021.</w:t>
      </w:r>
    </w:p>
    <w:p w14:paraId="135E749E">
      <w:pPr>
        <w:pStyle w:val="11"/>
        <w:spacing w:before="0" w:beforeLines="0" w:after="0" w:afterLines="0" w:line="360" w:lineRule="auto"/>
        <w:ind w:left="420" w:hanging="420"/>
      </w:pPr>
      <w:r>
        <w:rPr>
          <w:rFonts w:ascii="Times New Roman" w:hAnsi="Times New Roman" w:eastAsia="宋体" w:cs="Times New Roman"/>
          <w:b w:val="0"/>
          <w:sz w:val="24"/>
        </w:rPr>
        <w:t>[4] PX4 Development Team. Submarines (Unmanned Underwater Vehicles—UUV)[EB/OL]. (2024)[2026-10-10]. https://docs.px4.io/main/en/frames_sub/index.</w:t>
      </w:r>
    </w:p>
    <w:p w14:paraId="4753A116">
      <w:pPr>
        <w:pStyle w:val="11"/>
        <w:spacing w:before="0" w:beforeLines="0" w:after="0" w:afterLines="0" w:line="360" w:lineRule="auto"/>
        <w:ind w:left="420" w:hanging="420"/>
      </w:pPr>
      <w:r>
        <w:rPr>
          <w:rFonts w:ascii="Times New Roman" w:hAnsi="Times New Roman" w:eastAsia="宋体" w:cs="Times New Roman"/>
          <w:b w:val="0"/>
          <w:sz w:val="24"/>
        </w:rPr>
        <w:t>[5] FOSSEN T I. Nonlinear modelling of marine vehicles in 6 degrees of freedom[J]. Mathematical Modelling of Systems, 1995, 1(1): 17-27.</w:t>
      </w:r>
    </w:p>
    <w:p w14:paraId="015493A9">
      <w:pPr>
        <w:pStyle w:val="11"/>
        <w:spacing w:before="0" w:beforeLines="0" w:after="0" w:afterLines="0" w:line="360" w:lineRule="auto"/>
        <w:ind w:left="420" w:hanging="420"/>
      </w:pPr>
      <w:r>
        <w:rPr>
          <w:rFonts w:ascii="Times New Roman" w:hAnsi="Times New Roman" w:eastAsia="宋体" w:cs="Times New Roman"/>
          <w:b w:val="0"/>
          <w:sz w:val="24"/>
        </w:rPr>
        <w:t>[6] 严卫生, 高剑, 崔荣鑫, 等. 水下航行器控制技术[M]. 北京: 国防工业出版社, 2020.</w:t>
      </w:r>
    </w:p>
    <w:p w14:paraId="337973F4">
      <w:pPr>
        <w:pStyle w:val="11"/>
        <w:spacing w:before="0" w:beforeLines="0" w:after="0" w:afterLines="0" w:line="360" w:lineRule="auto"/>
        <w:ind w:left="420" w:hanging="420"/>
      </w:pPr>
      <w:r>
        <w:rPr>
          <w:rFonts w:ascii="Times New Roman" w:hAnsi="Times New Roman" w:eastAsia="宋体" w:cs="Times New Roman"/>
          <w:b w:val="0"/>
          <w:sz w:val="24"/>
        </w:rPr>
        <w:t>[7] PRESTERO T. Verification of a six-degree of freedom simulation model for the REMUS autonomous underwater vehicle[D]. Cambridge, MA: Massachusetts Institute of Technology, 2001.</w:t>
      </w:r>
    </w:p>
    <w:p w14:paraId="6944413E">
      <w:pPr>
        <w:pStyle w:val="11"/>
        <w:spacing w:before="0" w:beforeLines="0" w:after="0" w:afterLines="0" w:line="360" w:lineRule="auto"/>
        <w:ind w:left="420" w:hanging="420"/>
      </w:pPr>
      <w:r>
        <w:rPr>
          <w:rFonts w:ascii="Times New Roman" w:hAnsi="Times New Roman" w:eastAsia="宋体" w:cs="Times New Roman"/>
          <w:b w:val="0"/>
          <w:sz w:val="24"/>
        </w:rPr>
        <w:t>[8] CACCIA M, INDIVERI G, VERUGGIO G. Modeling and identification of open-frame variable configuration unmanned underwater vehicles[J]. IEEE Journal of Oceanic Engineering, 2000, 25(2): 227-240.</w:t>
      </w:r>
    </w:p>
    <w:p w14:paraId="75635D39">
      <w:pPr>
        <w:pStyle w:val="11"/>
        <w:spacing w:before="0" w:beforeLines="0" w:after="0" w:afterLines="0" w:line="360" w:lineRule="auto"/>
        <w:ind w:left="420" w:hanging="420"/>
      </w:pPr>
      <w:r>
        <w:rPr>
          <w:rFonts w:ascii="Times New Roman" w:hAnsi="Times New Roman" w:eastAsia="宋体" w:cs="Times New Roman"/>
          <w:b w:val="0"/>
          <w:sz w:val="24"/>
        </w:rPr>
        <w:t>[9] SMALLWOOD D A, WHITCOMB L L. Model-based dynamic positioning of underwater robotic vehicles: Theory and experiment[J]. IEEE Journal of Oceanic Engineering, 2004, 29(1): 169-186.</w:t>
      </w:r>
    </w:p>
    <w:p w14:paraId="5829B444">
      <w:pPr>
        <w:pStyle w:val="11"/>
        <w:spacing w:before="0" w:beforeLines="0" w:after="0" w:afterLines="0" w:line="360" w:lineRule="auto"/>
        <w:ind w:left="420" w:hanging="420"/>
      </w:pPr>
      <w:r>
        <w:rPr>
          <w:rFonts w:ascii="Times New Roman" w:hAnsi="Times New Roman" w:eastAsia="宋体" w:cs="Times New Roman"/>
          <w:b w:val="0"/>
          <w:sz w:val="24"/>
        </w:rPr>
        <w:t>[10] VON BENZON M, SØRENSEN F F, UTH E, et al. An open-source benchmark simulator: Control of a BlueROV2 underwater robot[J]. Journal of Marine Science and Engineering, 2022, 10(12): 1898.</w:t>
      </w:r>
    </w:p>
    <w:p w14:paraId="620C46B1">
      <w:pPr>
        <w:pStyle w:val="11"/>
        <w:spacing w:before="0" w:beforeLines="0" w:after="0" w:afterLines="0" w:line="360" w:lineRule="auto"/>
        <w:ind w:left="420" w:hanging="420"/>
      </w:pPr>
      <w:r>
        <w:rPr>
          <w:rFonts w:ascii="Times New Roman" w:hAnsi="Times New Roman" w:eastAsia="宋体" w:cs="Times New Roman"/>
          <w:b w:val="0"/>
          <w:sz w:val="24"/>
        </w:rPr>
        <w:t>[11] 高婷, 庞永杰, 王亚兴, 等. 水下航行器水动力系数计算方法[J]. 哈尔滨工程大学学报, 2019, 40(1): 174-180.</w:t>
      </w:r>
    </w:p>
    <w:p w14:paraId="4FA6E997">
      <w:pPr>
        <w:pStyle w:val="11"/>
        <w:spacing w:before="0" w:beforeLines="0" w:after="0" w:afterLines="0" w:line="360" w:lineRule="auto"/>
        <w:ind w:left="420" w:hanging="420"/>
      </w:pPr>
      <w:r>
        <w:rPr>
          <w:rFonts w:ascii="Times New Roman" w:hAnsi="Times New Roman" w:eastAsia="宋体" w:cs="Times New Roman"/>
          <w:b w:val="0"/>
          <w:sz w:val="24"/>
        </w:rPr>
        <w:t>[12] CHIN C S, LAU M W S. Modeling and testing of hydrodynamic damping for a complex-shaped underwater robot operating at low speed[C]//2012 Oceans - Yeosu. Yeosu, Korea: IEEE, 2012: 1-7.</w:t>
      </w:r>
    </w:p>
    <w:p w14:paraId="24749E0D">
      <w:pPr>
        <w:pStyle w:val="11"/>
        <w:spacing w:before="0" w:beforeLines="0" w:after="0" w:afterLines="0" w:line="360" w:lineRule="auto"/>
        <w:ind w:left="420" w:hanging="420"/>
      </w:pPr>
      <w:r>
        <w:rPr>
          <w:rFonts w:ascii="Times New Roman" w:hAnsi="Times New Roman" w:eastAsia="宋体" w:cs="Times New Roman"/>
          <w:b w:val="0"/>
          <w:sz w:val="24"/>
        </w:rPr>
        <w:t>[13] ROSS A, FOSSEN T I, JOHANSEN T A. Identification of underwater vehicle hydrodynamic coefficients using free decay tests[C]//IFAC Conference on Control Applications in Marine Systems. Ancona, Italy: IFAC, 2004: 363-368.</w:t>
      </w:r>
    </w:p>
    <w:p w14:paraId="456CDD6B">
      <w:pPr>
        <w:pStyle w:val="11"/>
        <w:spacing w:before="0" w:beforeLines="0" w:after="0" w:afterLines="0" w:line="360" w:lineRule="auto"/>
        <w:ind w:left="420" w:hanging="420"/>
      </w:pPr>
      <w:r>
        <w:rPr>
          <w:rFonts w:ascii="Times New Roman" w:hAnsi="Times New Roman" w:eastAsia="宋体" w:cs="Times New Roman"/>
          <w:b w:val="0"/>
          <w:sz w:val="24"/>
        </w:rPr>
        <w:t>[14] AVILA J P J, ADAMOWSKI J C. Experimental model identification of open-frame unmanned underwater vehicles[C]//2013 Oceans - San Diego. San Diego, CA: IEEE, 2013: 1-7.</w:t>
      </w:r>
    </w:p>
    <w:p w14:paraId="6549D34A">
      <w:pPr>
        <w:pStyle w:val="11"/>
        <w:spacing w:before="0" w:beforeLines="0" w:after="0" w:afterLines="0" w:line="360" w:lineRule="auto"/>
        <w:ind w:left="420" w:hanging="420"/>
      </w:pPr>
      <w:r>
        <w:rPr>
          <w:rFonts w:ascii="Times New Roman" w:hAnsi="Times New Roman" w:eastAsia="宋体" w:cs="Times New Roman"/>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14:paraId="2CCCC2A2">
      <w:pPr>
        <w:pStyle w:val="11"/>
        <w:spacing w:before="0" w:beforeLines="0" w:after="0" w:afterLines="0" w:line="360" w:lineRule="auto"/>
        <w:ind w:left="420" w:hanging="420"/>
      </w:pPr>
      <w:r>
        <w:rPr>
          <w:rFonts w:ascii="Times New Roman" w:hAnsi="Times New Roman" w:eastAsia="宋体" w:cs="Times New Roman"/>
          <w:b w:val="0"/>
          <w:sz w:val="24"/>
        </w:rPr>
        <w:t>[16] BRUNTON S L, PROCTOR J L, KUTZ J N. Discovering governing equations from data by sparse identification of nonlinear dynamical systems[J]. Proceedings of the National Academy of Sciences, 2016, 113(15): 3932-3937.</w:t>
      </w:r>
    </w:p>
    <w:p w14:paraId="53856263">
      <w:pPr>
        <w:pStyle w:val="11"/>
        <w:spacing w:before="0" w:beforeLines="0" w:after="0" w:afterLines="0" w:line="360" w:lineRule="auto"/>
        <w:ind w:left="420" w:hanging="420"/>
      </w:pPr>
      <w:r>
        <w:rPr>
          <w:rFonts w:ascii="Times New Roman" w:hAnsi="Times New Roman" w:eastAsia="宋体" w:cs="Times New Roman"/>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14:paraId="3270987F">
      <w:pPr>
        <w:pStyle w:val="11"/>
        <w:spacing w:before="0" w:beforeLines="0" w:after="0" w:afterLines="0" w:line="360" w:lineRule="auto"/>
        <w:ind w:left="420" w:hanging="420"/>
      </w:pPr>
      <w:r>
        <w:rPr>
          <w:rFonts w:ascii="Times New Roman" w:hAnsi="Times New Roman" w:eastAsia="宋体" w:cs="Times New Roman"/>
          <w:b w:val="0"/>
          <w:sz w:val="24"/>
        </w:rPr>
        <w:t>[18] CHEN R T Q, RUBANOVA Y, BETTENCOURT J, et al. Neural ordinary differential equations[C]//Advances in Neural Information Processing Systems (NeurIPS 2018). Montréal, QC, Canada, 2018: 6571-6583.</w:t>
      </w:r>
    </w:p>
    <w:p w14:paraId="62ED250A">
      <w:pPr>
        <w:pStyle w:val="11"/>
        <w:spacing w:before="0" w:beforeLines="0" w:after="0" w:afterLines="0" w:line="360" w:lineRule="auto"/>
        <w:ind w:left="420" w:hanging="420"/>
      </w:pPr>
      <w:r>
        <w:rPr>
          <w:rFonts w:ascii="Times New Roman" w:hAnsi="Times New Roman" w:eastAsia="宋体" w:cs="Times New Roman"/>
          <w:b w:val="0"/>
          <w:sz w:val="24"/>
        </w:rPr>
        <w:t>[19] LIU A, ZHANG X, XIAO F, et al. Koopman-based online identification with Sim2Real transfer for hydrodynamic modeling of turtle-inspired robot[J]. IEEE Robotics and Automation Letters, 2026, 11(6): 6632-6639.</w:t>
      </w:r>
    </w:p>
    <w:p w14:paraId="3376E46A">
      <w:pPr>
        <w:pStyle w:val="11"/>
        <w:spacing w:before="0" w:beforeLines="0" w:after="0" w:afterLines="0" w:line="360" w:lineRule="auto"/>
        <w:ind w:left="420" w:hanging="420"/>
      </w:pPr>
      <w:r>
        <w:rPr>
          <w:rFonts w:ascii="Times New Roman" w:hAnsi="Times New Roman" w:eastAsia="宋体" w:cs="Times New Roman"/>
          <w:b w:val="0"/>
          <w:sz w:val="24"/>
        </w:rPr>
        <w:t>[20] YUH J. Design and control of autonomous underwater robots: A survey[J]. Autonomous Robots, 2000, 8(1): 7-24.</w:t>
      </w:r>
    </w:p>
    <w:p w14:paraId="6E75F3AD">
      <w:pPr>
        <w:pStyle w:val="11"/>
        <w:spacing w:before="0" w:beforeLines="0" w:after="0" w:afterLines="0" w:line="360" w:lineRule="auto"/>
        <w:ind w:left="420" w:hanging="420"/>
      </w:pPr>
      <w:r>
        <w:rPr>
          <w:rFonts w:ascii="Times New Roman" w:hAnsi="Times New Roman" w:eastAsia="宋体" w:cs="Times New Roman"/>
          <w:b w:val="0"/>
          <w:sz w:val="24"/>
        </w:rPr>
        <w:t>[21] 朱大奇, 孙兵. 水下机器人运动控制研究进展[J]. 控制与决策, 2012, 27(3): 321-333.</w:t>
      </w:r>
    </w:p>
    <w:p w14:paraId="276CE4BE">
      <w:pPr>
        <w:pStyle w:val="11"/>
        <w:spacing w:before="0" w:beforeLines="0" w:after="0" w:afterLines="0" w:line="360" w:lineRule="auto"/>
        <w:ind w:left="420" w:hanging="420"/>
      </w:pPr>
      <w:r>
        <w:rPr>
          <w:rFonts w:ascii="Times New Roman" w:hAnsi="Times New Roman" w:eastAsia="宋体" w:cs="Times New Roman"/>
          <w:b w:val="0"/>
          <w:sz w:val="24"/>
        </w:rPr>
        <w:t>[22] YOERGER D R, SLOTINE J J E. Robust trajectory control of underwater vehicles[J]. IEEE Journal of Oceanic Engineering, 1985, 10(4): 462-470.</w:t>
      </w:r>
    </w:p>
    <w:p w14:paraId="6D54E73A">
      <w:pPr>
        <w:pStyle w:val="11"/>
        <w:spacing w:before="0" w:beforeLines="0" w:after="0" w:afterLines="0" w:line="360" w:lineRule="auto"/>
        <w:ind w:left="420" w:hanging="420"/>
      </w:pPr>
      <w:r>
        <w:rPr>
          <w:rFonts w:ascii="Times New Roman" w:hAnsi="Times New Roman" w:eastAsia="宋体" w:cs="Times New Roman"/>
          <w:b w:val="0"/>
          <w:sz w:val="24"/>
        </w:rPr>
        <w:t>[23] HEALEY A J, LIENARD D. Multivariable sliding mode control for autonomous diving and steering of unmanned underwater vehicles[J]. IEEE Journal of Oceanic Engineering, 1993, 18(3): 327-339.</w:t>
      </w:r>
    </w:p>
    <w:p w14:paraId="3655EAA4">
      <w:pPr>
        <w:pStyle w:val="11"/>
        <w:spacing w:before="0" w:beforeLines="0" w:after="0" w:afterLines="0" w:line="360" w:lineRule="auto"/>
        <w:ind w:left="420" w:hanging="420"/>
      </w:pPr>
      <w:r>
        <w:rPr>
          <w:rFonts w:ascii="Times New Roman" w:hAnsi="Times New Roman" w:eastAsia="宋体" w:cs="Times New Roman"/>
          <w:b w:val="0"/>
          <w:sz w:val="24"/>
        </w:rPr>
        <w:t>[24] CHU Z, XIANG X, ZHU D, et al. Adaptive trajectory tracking control for remotely operated vehicles considering thruster dynamics and saturation constraints[J]. ISA Transactions, 2020, 100: 28-37.</w:t>
      </w:r>
    </w:p>
    <w:p w14:paraId="24960342">
      <w:pPr>
        <w:pStyle w:val="11"/>
        <w:spacing w:before="0" w:beforeLines="0" w:after="0" w:afterLines="0" w:line="360" w:lineRule="auto"/>
        <w:ind w:left="420" w:hanging="420"/>
      </w:pPr>
      <w:r>
        <w:rPr>
          <w:rFonts w:ascii="Times New Roman" w:hAnsi="Times New Roman" w:eastAsia="宋体" w:cs="Times New Roman"/>
          <w:b w:val="0"/>
          <w:sz w:val="24"/>
        </w:rPr>
        <w:t>[25] 张磊, 严卫生, 付明玉. 自主水下航行器模型预测控制研究现状与展望[J]. 控制理论与应用, 2018, 35(9): 1181-1192.</w:t>
      </w:r>
    </w:p>
    <w:p w14:paraId="47D4E3CD">
      <w:pPr>
        <w:pStyle w:val="11"/>
        <w:spacing w:before="0" w:beforeLines="0" w:after="0" w:afterLines="0" w:line="360" w:lineRule="auto"/>
        <w:ind w:left="420" w:hanging="420"/>
      </w:pPr>
      <w:r>
        <w:rPr>
          <w:rFonts w:ascii="Times New Roman" w:hAnsi="Times New Roman" w:eastAsia="宋体" w:cs="Times New Roman"/>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14:paraId="15393384">
      <w:pPr>
        <w:pStyle w:val="11"/>
        <w:spacing w:before="0" w:beforeLines="0" w:after="0" w:afterLines="0" w:line="360" w:lineRule="auto"/>
        <w:ind w:left="420" w:hanging="420"/>
      </w:pPr>
      <w:r>
        <w:rPr>
          <w:rFonts w:ascii="Times New Roman" w:hAnsi="Times New Roman" w:eastAsia="宋体" w:cs="Times New Roman"/>
          <w:b w:val="0"/>
          <w:sz w:val="24"/>
        </w:rPr>
        <w:t>[27] HESHMATI-ALAMDARI S, NIKOU A, DIMAROGONAS D V. Robust trajectory tracking control for underactuated autonomous underwater vehicles in uncertain environments[J]. IEEE Transactions on Automation Science and Engineering, 2020, 18(3): 1288-1301.</w:t>
      </w:r>
    </w:p>
    <w:p w14:paraId="0A7D7319">
      <w:pPr>
        <w:pStyle w:val="11"/>
        <w:spacing w:before="0" w:beforeLines="0" w:after="0" w:afterLines="0" w:line="360" w:lineRule="auto"/>
        <w:ind w:left="420" w:hanging="420"/>
      </w:pPr>
      <w:r>
        <w:rPr>
          <w:rFonts w:ascii="Times New Roman" w:hAnsi="Times New Roman" w:eastAsia="宋体" w:cs="Times New Roman"/>
          <w:b w:val="0"/>
          <w:sz w:val="24"/>
        </w:rPr>
        <w:t>[28] JOHANSEN T A, FOSSEN T I. Control allocation: A survey[J]. Automatica, 2013, 49(5): 1087-1103.</w:t>
      </w:r>
    </w:p>
    <w:p w14:paraId="5649C321">
      <w:pPr>
        <w:pStyle w:val="11"/>
        <w:spacing w:before="0" w:beforeLines="0" w:after="0" w:afterLines="0" w:line="360" w:lineRule="auto"/>
        <w:ind w:left="420" w:hanging="420"/>
      </w:pPr>
      <w:r>
        <w:rPr>
          <w:rFonts w:ascii="Times New Roman" w:hAnsi="Times New Roman" w:eastAsia="宋体" w:cs="Times New Roman"/>
          <w:b w:val="0"/>
          <w:sz w:val="24"/>
        </w:rPr>
        <w:t>[29] BODSON M. Evaluation of optimization methods for control allocation[J]. Journal of Guidance, Control, and Dynamics, 2002, 25(4): 703-711.</w:t>
      </w:r>
    </w:p>
    <w:p w14:paraId="21479EA2">
      <w:pPr>
        <w:pStyle w:val="11"/>
        <w:spacing w:before="0" w:beforeLines="0" w:after="0" w:afterLines="0" w:line="360" w:lineRule="auto"/>
        <w:ind w:left="420" w:hanging="420"/>
      </w:pPr>
      <w:r>
        <w:rPr>
          <w:rFonts w:ascii="Times New Roman" w:hAnsi="Times New Roman" w:eastAsia="宋体" w:cs="Times New Roman"/>
          <w:b w:val="0"/>
          <w:sz w:val="24"/>
        </w:rPr>
        <w:t>[30] HÄRKEGÅRD O. Efficient active set algorithms for solving constrained linear quadratic control allocation problems[J]. Journal of Guidance, Control, and Dynamics, 2002, 25(5): 827-835.</w:t>
      </w:r>
    </w:p>
    <w:p w14:paraId="5339E3CE">
      <w:pPr>
        <w:pStyle w:val="11"/>
        <w:spacing w:before="0" w:beforeLines="0" w:after="0" w:afterLines="0" w:line="360" w:lineRule="auto"/>
        <w:ind w:left="420" w:hanging="420"/>
      </w:pPr>
      <w:r>
        <w:rPr>
          <w:rFonts w:ascii="Times New Roman" w:hAnsi="Times New Roman" w:eastAsia="宋体" w:cs="Times New Roman"/>
          <w:b w:val="0"/>
          <w:sz w:val="24"/>
        </w:rPr>
        <w:t>[31] 程卫平, 王猛, 曾现敏, 等. 基于可行方向法的水下机器人推力分配[J]. 舰船科学技术, 2022, 44(13): 102-106.</w:t>
      </w:r>
    </w:p>
    <w:p w14:paraId="6F2853DC">
      <w:pPr>
        <w:pStyle w:val="11"/>
        <w:spacing w:before="0" w:beforeLines="0" w:after="0" w:afterLines="0" w:line="360" w:lineRule="auto"/>
        <w:ind w:left="420" w:hanging="420"/>
      </w:pPr>
      <w:r>
        <w:rPr>
          <w:rFonts w:ascii="Times New Roman" w:hAnsi="Times New Roman" w:eastAsia="宋体" w:cs="Times New Roman"/>
          <w:b w:val="0"/>
          <w:sz w:val="24"/>
        </w:rPr>
        <w:t>[32] 孙功武, 苏义鑫, 毛英, 等. 基于模糊逻辑的混合推进ROV多级推力分配策略[J]. 机器人, 2023, 45(4): 472-482.</w:t>
      </w:r>
    </w:p>
    <w:p w14:paraId="3E91DB56">
      <w:pPr>
        <w:pStyle w:val="11"/>
        <w:spacing w:before="0" w:beforeLines="0" w:after="0" w:afterLines="0" w:line="360" w:lineRule="auto"/>
        <w:ind w:left="420" w:hanging="420"/>
      </w:pPr>
      <w:r>
        <w:rPr>
          <w:rFonts w:ascii="Times New Roman" w:hAnsi="Times New Roman" w:eastAsia="宋体" w:cs="Times New Roman"/>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14:paraId="781733FF">
      <w:pPr>
        <w:pStyle w:val="11"/>
        <w:spacing w:before="0" w:beforeLines="0" w:after="0" w:afterLines="0" w:line="360" w:lineRule="auto"/>
        <w:ind w:left="420" w:hanging="420"/>
      </w:pPr>
      <w:r>
        <w:rPr>
          <w:rFonts w:ascii="Times New Roman" w:hAnsi="Times New Roman" w:eastAsia="宋体" w:cs="Times New Roman"/>
          <w:b w:val="0"/>
          <w:sz w:val="24"/>
        </w:rPr>
        <w:t>[34] MEIER L, HONEGGER D, POLLEFEYS M. PX4: A node-based multithreaded open source robotics framework for deeply embedded platforms[C]//2015 IEEE International Conference on Robotics and Automation (ICRA). Seattle, WA, USA: IEEE, 2015: 6235-6240.</w:t>
      </w:r>
    </w:p>
    <w:p w14:paraId="7C2CA3D5">
      <w:pPr>
        <w:pStyle w:val="11"/>
        <w:spacing w:before="0" w:beforeLines="0" w:after="0" w:afterLines="0" w:line="360" w:lineRule="auto"/>
        <w:ind w:left="420" w:hanging="420"/>
      </w:pPr>
      <w:r>
        <w:rPr>
          <w:rFonts w:ascii="Times New Roman" w:hAnsi="Times New Roman" w:eastAsia="宋体" w:cs="Times New Roman"/>
          <w:b w:val="0"/>
          <w:sz w:val="24"/>
        </w:rPr>
        <w:t>[35] PX4 Development Team. Control Allocation (Mixing)[EB/OL]. [2026-10-10]. https://docs.px4.io/main/en/concept/control_allocation.</w:t>
      </w:r>
    </w:p>
    <w:p w14:paraId="3294D216">
      <w:pPr>
        <w:pStyle w:val="11"/>
        <w:spacing w:before="0" w:beforeLines="0" w:after="0" w:afterLines="0" w:line="360" w:lineRule="auto"/>
        <w:ind w:left="420" w:hanging="420"/>
      </w:pPr>
      <w:r>
        <w:rPr>
          <w:rFonts w:ascii="Times New Roman" w:hAnsi="Times New Roman" w:eastAsia="宋体" w:cs="Times New Roman"/>
          <w:b w:val="0"/>
          <w:sz w:val="24"/>
        </w:rPr>
        <w:t>[36] PX4 Development Team. BlueROV2 (UUV)[EB/OL]. [2026-10-10]. https://docs.px4.io/main/en/frames_sub/bluerov2.</w:t>
      </w:r>
    </w:p>
    <w:p w14:paraId="435049E7">
      <w:pPr>
        <w:pStyle w:val="11"/>
        <w:spacing w:before="0" w:beforeLines="0" w:after="0" w:afterLines="0" w:line="360" w:lineRule="auto"/>
        <w:ind w:left="420" w:hanging="420"/>
      </w:pPr>
      <w:r>
        <w:rPr>
          <w:rFonts w:ascii="Times New Roman" w:hAnsi="Times New Roman" w:eastAsia="宋体" w:cs="Times New Roman"/>
          <w:b w:val="0"/>
          <w:sz w:val="24"/>
        </w:rPr>
        <w:t>[37] PX4 Development Team. Offboard Mode (Generic/All Frames)[EB/OL]. [2026-10-10]. https://docs.px4.io/main/en/flight_modes/offboard.</w:t>
      </w:r>
    </w:p>
    <w:permEnd w:id="14"/>
    <w:p w14:paraId="2CA8248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7E50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11</Pages>
  <Words>6209</Words>
  <Characters>10865</Characters>
  <Lines>82</Lines>
  <Paragraphs>45</Paragraphs>
  <TotalTime>29</TotalTime>
  <ScaleCrop>false</ScaleCrop>
  <LinksUpToDate>false</LinksUpToDate>
  <CharactersWithSpaces>11769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2026-10-10T16:13:08Z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974D0B8056AD4BE78BEEB6D17871E013_12</vt:lpwstr>
  </property>
</Properties>
</file>