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立足于水下基础设施近距离巡检中精确运动控制的实际工程需求。针对水下近距离精细巡检对位姿控制精度、悬停稳定性及推力约束处理的实际需求，本课题以八推进器紧凑型水下航行器为研究对象，选用适用于控制设计的六自由度动力学模型与推进器推力分配模型，研究考虑推进器推力约束的模型预测控制（MPC）方法，并在PX4相关控制与仿真环境中开展闭环验证。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0" w:before="120" w:afterLines="0" w:after="120"/>
        <w:ind w:firstLineChars="200" w:firstLine="482" w:left="0"/>
      </w:pPr>
      <w:r>
        <w:rPr>
          <w:rFonts w:ascii="Times New Roman" w:hAnsi="Times New Roman" w:eastAsia="宋体"/>
          <w:b w:val="0"/>
          <w:strike/>
          <w:sz w:val="24"/>
        </w:rPr>
        <w:t>面向水下基础设施近距离巡检，小型</w:t>
      </w:r>
      <w:r>
        <w:rPr>
          <w:rFonts w:ascii="Times New Roman" w:hAnsi="Times New Roman" w:eastAsia="宋体"/>
          <w:b w:val="0"/>
          <w:sz w:val="24"/>
          <w:highlight w:val="yellow"/>
        </w:rPr>
        <w:t>围绕</w:t>
      </w:r>
      <w:r>
        <w:rPr>
          <w:rFonts w:ascii="Times New Roman" w:hAnsi="Times New Roman" w:eastAsia="宋体"/>
          <w:b w:val="0"/>
          <w:sz w:val="24"/>
        </w:rPr>
        <w:t>水下航行器</w:t>
      </w:r>
      <w:r>
        <w:rPr>
          <w:rFonts w:ascii="Times New Roman" w:hAnsi="Times New Roman" w:eastAsia="宋体"/>
          <w:b w:val="0"/>
          <w:strike/>
          <w:sz w:val="24"/>
        </w:rPr>
        <w:t>需要在低速条件下完成</w:t>
      </w:r>
      <w:r>
        <w:rPr>
          <w:rFonts w:ascii="Times New Roman" w:hAnsi="Times New Roman" w:eastAsia="宋体"/>
          <w:b w:val="0"/>
          <w:sz w:val="24"/>
          <w:highlight w:val="yellow"/>
        </w:rPr>
        <w:t>的低速悬停、</w:t>
      </w:r>
      <w:r>
        <w:rPr>
          <w:rFonts w:ascii="Times New Roman" w:hAnsi="Times New Roman" w:eastAsia="宋体"/>
          <w:b w:val="0"/>
          <w:sz w:val="24"/>
        </w:rPr>
        <w:t>多方向位姿调整</w:t>
      </w:r>
      <w:r>
        <w:rPr>
          <w:rFonts w:ascii="Times New Roman" w:hAnsi="Times New Roman" w:eastAsia="宋体"/>
          <w:b w:val="0"/>
          <w:strike/>
          <w:sz w:val="24"/>
        </w:rPr>
        <w:t>、稳定悬停和抗扰运动，同时受到水动力不确定性与推进器推力限制。由此，受约束</w:t>
      </w:r>
      <w:r>
        <w:rPr>
          <w:rFonts w:ascii="Times New Roman" w:hAnsi="Times New Roman" w:eastAsia="宋体"/>
          <w:b w:val="0"/>
          <w:sz w:val="24"/>
          <w:highlight w:val="yellow"/>
        </w:rPr>
        <w:t>及扰动条件下的</w:t>
      </w:r>
      <w:r>
        <w:rPr>
          <w:rFonts w:ascii="Times New Roman" w:hAnsi="Times New Roman" w:eastAsia="宋体"/>
          <w:b w:val="0"/>
          <w:sz w:val="24"/>
        </w:rPr>
        <w:t>运动控制</w:t>
      </w:r>
      <w:r>
        <w:rPr>
          <w:rFonts w:ascii="Times New Roman" w:hAnsi="Times New Roman" w:eastAsia="宋体"/>
          <w:b w:val="0"/>
          <w:strike/>
          <w:sz w:val="24"/>
        </w:rPr>
        <w:t>的研究涉及三个相互衔接的问题</w:t>
      </w:r>
      <w:r>
        <w:rPr>
          <w:rFonts w:ascii="Times New Roman" w:hAnsi="Times New Roman" w:eastAsia="宋体"/>
          <w:b w:val="0"/>
          <w:sz w:val="24"/>
          <w:highlight w:val="yellow"/>
        </w:rPr>
        <w:t>，已有研究可按“模型预测依据—控制与执行约束—平台闭环验证”三个层次梳理。三者分别回答</w:t>
      </w:r>
      <w:r>
        <w:rPr>
          <w:rFonts w:ascii="Times New Roman" w:hAnsi="Times New Roman" w:eastAsia="宋体"/>
          <w:b w:val="0"/>
          <w:sz w:val="24"/>
        </w:rPr>
        <w:t>：动力学模型能否</w:t>
      </w:r>
      <w:r>
        <w:rPr>
          <w:rFonts w:ascii="Times New Roman" w:hAnsi="Times New Roman" w:eastAsia="宋体"/>
          <w:b w:val="0"/>
          <w:strike/>
          <w:sz w:val="24"/>
        </w:rPr>
        <w:t>支持可靠预测</w:t>
      </w:r>
      <w:r>
        <w:rPr>
          <w:rFonts w:ascii="Times New Roman" w:hAnsi="Times New Roman" w:eastAsia="宋体"/>
          <w:b w:val="0"/>
          <w:sz w:val="24"/>
          <w:highlight w:val="yellow"/>
        </w:rPr>
        <w:t>合理描述目标工况</w:t>
      </w:r>
      <w:r>
        <w:rPr>
          <w:rFonts w:ascii="Times New Roman" w:hAnsi="Times New Roman" w:eastAsia="宋体"/>
          <w:b w:val="0"/>
          <w:sz w:val="24"/>
        </w:rPr>
        <w:t>，控制</w:t>
      </w:r>
      <w:r>
        <w:rPr>
          <w:rFonts w:ascii="Times New Roman" w:hAnsi="Times New Roman" w:eastAsia="宋体"/>
          <w:b w:val="0"/>
          <w:strike/>
          <w:sz w:val="24"/>
        </w:rPr>
        <w:t>指令能否在</w:t>
      </w:r>
      <w:r>
        <w:rPr>
          <w:rFonts w:ascii="Times New Roman" w:hAnsi="Times New Roman" w:eastAsia="宋体"/>
          <w:b w:val="0"/>
          <w:sz w:val="24"/>
          <w:highlight w:val="yellow"/>
        </w:rPr>
        <w:t>器给出的合力与力矩能否由</w:t>
      </w:r>
      <w:r>
        <w:rPr>
          <w:rFonts w:ascii="Times New Roman" w:hAnsi="Times New Roman" w:eastAsia="宋体"/>
          <w:b w:val="0"/>
          <w:sz w:val="24"/>
        </w:rPr>
        <w:t>推进器</w:t>
      </w:r>
      <w:r>
        <w:rPr>
          <w:rFonts w:ascii="Times New Roman" w:hAnsi="Times New Roman" w:eastAsia="宋体"/>
          <w:b w:val="0"/>
          <w:strike/>
          <w:sz w:val="24"/>
        </w:rPr>
        <w:t>约束下</w:t>
      </w:r>
      <w:r>
        <w:rPr>
          <w:rFonts w:ascii="Times New Roman" w:hAnsi="Times New Roman" w:eastAsia="宋体"/>
          <w:b w:val="0"/>
          <w:sz w:val="24"/>
        </w:rPr>
        <w:t>实现，以及</w:t>
      </w:r>
      <w:r>
        <w:rPr>
          <w:rFonts w:ascii="Times New Roman" w:hAnsi="Times New Roman" w:eastAsia="宋体"/>
          <w:b w:val="0"/>
          <w:strike/>
          <w:sz w:val="24"/>
        </w:rPr>
        <w:t>控制</w:t>
      </w:r>
      <w:r>
        <w:rPr>
          <w:rFonts w:ascii="Times New Roman" w:hAnsi="Times New Roman" w:eastAsia="宋体"/>
          <w:b w:val="0"/>
          <w:sz w:val="24"/>
        </w:rPr>
        <w:t>算法能否在</w:t>
      </w:r>
      <w:r>
        <w:rPr>
          <w:rFonts w:ascii="Times New Roman" w:hAnsi="Times New Roman" w:eastAsia="宋体"/>
          <w:b w:val="0"/>
          <w:sz w:val="24"/>
          <w:highlight w:val="yellow"/>
        </w:rPr>
        <w:t>目标</w:t>
      </w:r>
      <w:r>
        <w:rPr>
          <w:rFonts w:ascii="Times New Roman" w:hAnsi="Times New Roman" w:eastAsia="宋体"/>
          <w:b w:val="0"/>
          <w:sz w:val="24"/>
        </w:rPr>
        <w:t>飞控与仿真</w:t>
      </w:r>
      <w:r>
        <w:rPr>
          <w:rFonts w:ascii="Times New Roman" w:hAnsi="Times New Roman" w:eastAsia="宋体"/>
          <w:b w:val="0"/>
          <w:strike/>
          <w:sz w:val="24"/>
        </w:rPr>
        <w:t>系统中形成稳定闭环。下文依次从动力学建模与参数辨识、模型预测控制与推力分配、PX4平台适配与闭环验证三个方面评述</w:t>
      </w:r>
      <w:r>
        <w:rPr>
          <w:rFonts w:ascii="Times New Roman" w:hAnsi="Times New Roman" w:eastAsia="宋体"/>
          <w:b w:val="0"/>
          <w:sz w:val="24"/>
          <w:highlight w:val="yellow"/>
        </w:rPr>
        <w:t>环境中稳定运行。以下结合</w:t>
      </w:r>
      <w:r>
        <w:rPr>
          <w:rFonts w:ascii="Times New Roman" w:hAnsi="Times New Roman" w:eastAsia="宋体"/>
          <w:b w:val="0"/>
          <w:sz w:val="24"/>
        </w:rPr>
        <w:t>代表性成果</w:t>
      </w:r>
      <w:r>
        <w:rPr>
          <w:rFonts w:ascii="Times New Roman" w:hAnsi="Times New Roman" w:eastAsia="宋体"/>
          <w:b w:val="0"/>
          <w:strike/>
          <w:sz w:val="24"/>
        </w:rPr>
        <w:t>，并分析相关发展趋势</w:t>
      </w:r>
      <w:r>
        <w:rPr>
          <w:rFonts w:ascii="Times New Roman" w:hAnsi="Times New Roman" w:eastAsia="宋体"/>
          <w:b w:val="0"/>
          <w:sz w:val="24"/>
          <w:highlight w:val="yellow"/>
        </w:rPr>
        <w:t>比较各类方法的适用条件与局限，最后归纳相关研究趋势并明确本课题尚待验证的问题</w:t>
      </w:r>
      <w:r>
        <w:rPr>
          <w:rFonts w:ascii="Times New Roman" w:hAnsi="Times New Roman" w:eastAsia="宋体"/>
          <w:b w:val="0"/>
          <w:sz w:val="24"/>
        </w:rPr>
        <w:t>。</w:t>
      </w:r>
    </w:p>
    <w:p>
      <w:pPr>
        <w:pStyle w:val="a7"/>
        <w:spacing w:line="360" w:lineRule="auto" w:beforeLines="50" w:before="120" w:afterLines="50" w:after="120"/>
        <w:ind w:firstLineChars="200" w:firstLine="0" w:left="0"/>
      </w:pPr>
      <w:r>
        <w:rPr>
          <w:rFonts w:ascii="Times New Roman" w:hAnsi="Times New Roman" w:eastAsia="黑体"/>
          <w:b/>
          <w:sz w:val="24"/>
        </w:rPr>
        <w:t>2.1 水下航行器动力学建模与参数辨识研究现状</w:t>
      </w:r>
    </w:p>
    <w:p>
      <w:pPr>
        <w:pStyle w:val="a7"/>
        <w:spacing w:line="360" w:lineRule="auto" w:beforeLines="0" w:before="120" w:afterLines="0" w:after="120"/>
        <w:ind w:firstLineChars="200" w:firstLine="482" w:left="0"/>
      </w:pPr>
      <w:r>
        <w:rPr>
          <w:rFonts w:ascii="Times New Roman" w:hAnsi="Times New Roman" w:eastAsia="宋体"/>
          <w:b w:val="0"/>
          <w:sz w:val="24"/>
        </w:rPr>
        <w:t>动力学模型是基于模型的控制方法开展状态预测的基础。水下航行器的六自由度运动涉及刚体惯性、水动力附加质量与阻尼，以及重力、浮力产生的恢复力和力矩；其参数又与航行器外形、运行速度及工作环境有关。</w:t>
      </w:r>
      <w:r>
        <w:rPr>
          <w:rFonts w:ascii="Times New Roman" w:hAnsi="Times New Roman" w:eastAsia="宋体"/>
          <w:b w:val="0"/>
          <w:strike/>
          <w:sz w:val="24"/>
        </w:rPr>
        <w:t>面向在线预测控制，研究重点不仅是提高模型精度，还在于选择能够在有限计算时间内求解的模型形式。现有工作主要沿</w:t>
      </w:r>
      <w:r>
        <w:rPr>
          <w:rFonts w:ascii="Times New Roman" w:hAnsi="Times New Roman" w:eastAsia="宋体"/>
          <w:b w:val="0"/>
          <w:sz w:val="24"/>
          <w:highlight w:val="yellow"/>
        </w:rPr>
        <w:t>用于在线控制时，模型既要覆盖目标工况中的主要耦合项，也要考虑参数可获得性与求解时间。相关工作可从</w:t>
      </w:r>
      <w:r>
        <w:rPr>
          <w:rFonts w:ascii="Times New Roman" w:hAnsi="Times New Roman" w:eastAsia="宋体"/>
          <w:b w:val="0"/>
          <w:sz w:val="24"/>
        </w:rPr>
        <w:t>机理建模、参数辨识</w:t>
      </w:r>
      <w:r>
        <w:rPr>
          <w:rFonts w:ascii="Times New Roman" w:hAnsi="Times New Roman" w:eastAsia="宋体"/>
          <w:b w:val="0"/>
          <w:strike/>
          <w:sz w:val="24"/>
        </w:rPr>
        <w:t>和</w:t>
      </w:r>
      <w:r>
        <w:rPr>
          <w:rFonts w:ascii="Times New Roman" w:hAnsi="Times New Roman" w:eastAsia="宋体"/>
          <w:b w:val="0"/>
          <w:sz w:val="24"/>
          <w:highlight w:val="yellow"/>
        </w:rPr>
        <w:t>与</w:t>
      </w:r>
      <w:r>
        <w:rPr>
          <w:rFonts w:ascii="Times New Roman" w:hAnsi="Times New Roman" w:eastAsia="宋体"/>
          <w:b w:val="0"/>
          <w:sz w:val="24"/>
        </w:rPr>
        <w:t>数据辅助</w:t>
      </w:r>
      <w:r>
        <w:rPr>
          <w:rFonts w:ascii="Times New Roman" w:hAnsi="Times New Roman" w:eastAsia="宋体"/>
          <w:b w:val="0"/>
          <w:strike/>
          <w:sz w:val="24"/>
        </w:rPr>
        <w:t>建模三条路径展开</w:t>
      </w:r>
      <w:r>
        <w:rPr>
          <w:rFonts w:ascii="Times New Roman" w:hAnsi="Times New Roman" w:eastAsia="宋体"/>
          <w:b w:val="0"/>
          <w:sz w:val="24"/>
          <w:highlight w:val="yellow"/>
        </w:rPr>
        <w:t>修正三个方面考察</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在机理建模方面，Fossen[5]给出了海洋航行器六自由度动力学的统一表达，严卫生等[6]系统论述了水下航行器的建模与控制方法，为不同构型的模型建立提供了理论基础。针对具体对象，Prestero[7]建立并校验了流线型REMUS航行器的六自由度机理模型；Caccia等[8]则围绕开架式水下航行器开展建模与辨识，</w:t>
      </w:r>
      <w:r>
        <w:rPr>
          <w:rFonts w:ascii="Times New Roman" w:hAnsi="Times New Roman" w:eastAsia="宋体"/>
          <w:b w:val="0"/>
          <w:strike/>
          <w:sz w:val="24"/>
        </w:rPr>
        <w:t>体现了非流线型构型的</w:t>
      </w:r>
      <w:r>
        <w:rPr>
          <w:rFonts w:ascii="Times New Roman" w:hAnsi="Times New Roman" w:eastAsia="宋体"/>
          <w:b w:val="0"/>
          <w:sz w:val="24"/>
          <w:highlight w:val="yellow"/>
        </w:rPr>
        <w:t>说明具体构型会影响</w:t>
      </w:r>
      <w:r>
        <w:rPr>
          <w:rFonts w:ascii="Times New Roman" w:hAnsi="Times New Roman" w:eastAsia="宋体"/>
          <w:b w:val="0"/>
          <w:sz w:val="24"/>
        </w:rPr>
        <w:t>水动力</w:t>
      </w:r>
      <w:r>
        <w:rPr>
          <w:rFonts w:ascii="Times New Roman" w:hAnsi="Times New Roman" w:eastAsia="宋体"/>
          <w:b w:val="0"/>
          <w:strike/>
          <w:sz w:val="24"/>
        </w:rPr>
        <w:t>特征</w:t>
      </w:r>
      <w:r>
        <w:rPr>
          <w:rFonts w:ascii="Times New Roman" w:hAnsi="Times New Roman" w:eastAsia="宋体"/>
          <w:b w:val="0"/>
          <w:sz w:val="24"/>
          <w:highlight w:val="yellow"/>
        </w:rPr>
        <w:t>建模与辨识过程</w:t>
      </w:r>
      <w:r>
        <w:rPr>
          <w:rFonts w:ascii="Times New Roman" w:hAnsi="Times New Roman" w:eastAsia="宋体"/>
          <w:b w:val="0"/>
          <w:sz w:val="24"/>
        </w:rPr>
        <w:t>；Smallwood与Whitcomb[9]通过水下机器人动力定位实验展示了非线性模型信息在运动控制中的作用。上述成果表明，六自由度动力学框架</w:t>
      </w:r>
      <w:r>
        <w:rPr>
          <w:rFonts w:ascii="Times New Roman" w:hAnsi="Times New Roman" w:eastAsia="宋体"/>
          <w:b w:val="0"/>
          <w:strike/>
          <w:sz w:val="24"/>
        </w:rPr>
        <w:t>具备理论共性，但流线型回转体与开架式构型</w:t>
      </w:r>
      <w:r>
        <w:rPr>
          <w:rFonts w:ascii="Times New Roman" w:hAnsi="Times New Roman" w:eastAsia="宋体"/>
          <w:b w:val="0"/>
          <w:sz w:val="24"/>
          <w:highlight w:val="yellow"/>
        </w:rPr>
        <w:t>可作为共同起点，但不同外形与推进器布局</w:t>
      </w:r>
      <w:r>
        <w:rPr>
          <w:rFonts w:ascii="Times New Roman" w:hAnsi="Times New Roman" w:eastAsia="宋体"/>
          <w:b w:val="0"/>
          <w:sz w:val="24"/>
        </w:rPr>
        <w:t>的水动力</w:t>
      </w:r>
      <w:r>
        <w:rPr>
          <w:rFonts w:ascii="Times New Roman" w:hAnsi="Times New Roman" w:eastAsia="宋体"/>
          <w:b w:val="0"/>
          <w:sz w:val="24"/>
          <w:highlight w:val="yellow"/>
        </w:rPr>
        <w:t>参数和</w:t>
      </w:r>
      <w:r>
        <w:rPr>
          <w:rFonts w:ascii="Times New Roman" w:hAnsi="Times New Roman" w:eastAsia="宋体"/>
          <w:b w:val="0"/>
          <w:sz w:val="24"/>
        </w:rPr>
        <w:t>耦合特性</w:t>
      </w:r>
      <w:r>
        <w:rPr>
          <w:rFonts w:ascii="Times New Roman" w:hAnsi="Times New Roman" w:eastAsia="宋体"/>
          <w:b w:val="0"/>
          <w:strike/>
          <w:sz w:val="24"/>
        </w:rPr>
        <w:t>存在本质差异。针对</w:t>
      </w:r>
      <w:r>
        <w:rPr>
          <w:rFonts w:ascii="Times New Roman" w:hAnsi="Times New Roman" w:eastAsia="宋体"/>
          <w:b w:val="0"/>
          <w:sz w:val="24"/>
          <w:highlight w:val="yellow"/>
        </w:rPr>
        <w:t>不能直接互用。对于</w:t>
      </w:r>
      <w:r>
        <w:rPr>
          <w:rFonts w:ascii="Times New Roman" w:hAnsi="Times New Roman" w:eastAsia="宋体"/>
          <w:b w:val="0"/>
          <w:sz w:val="24"/>
        </w:rPr>
        <w:t>紧凑型开架式八推进器航行器，</w:t>
      </w:r>
      <w:r>
        <w:rPr>
          <w:rFonts w:ascii="Times New Roman" w:hAnsi="Times New Roman" w:eastAsia="宋体"/>
          <w:b w:val="0"/>
          <w:strike/>
          <w:sz w:val="24"/>
        </w:rPr>
        <w:t>虽然已有以</w:t>
      </w:r>
      <w:r>
        <w:rPr>
          <w:rFonts w:ascii="Times New Roman" w:hAnsi="Times New Roman" w:eastAsia="宋体"/>
          <w:b w:val="0"/>
          <w:sz w:val="24"/>
          <w:highlight w:val="yellow"/>
        </w:rPr>
        <w:t>已有面向</w:t>
      </w:r>
      <w:r>
        <w:rPr>
          <w:rFonts w:ascii="Times New Roman" w:hAnsi="Times New Roman" w:eastAsia="宋体"/>
          <w:b w:val="0"/>
          <w:sz w:val="24"/>
        </w:rPr>
        <w:t>BlueROV2</w:t>
      </w:r>
      <w:r>
        <w:rPr>
          <w:rFonts w:ascii="Times New Roman" w:hAnsi="Times New Roman" w:eastAsia="宋体"/>
          <w:b w:val="0"/>
          <w:strike/>
          <w:sz w:val="24"/>
        </w:rPr>
        <w:t>为代表的动力学基准</w:t>
      </w:r>
      <w:r>
        <w:rPr>
          <w:rFonts w:ascii="Times New Roman" w:hAnsi="Times New Roman" w:eastAsia="宋体"/>
          <w:b w:val="0"/>
          <w:sz w:val="24"/>
          <w:highlight w:val="yellow"/>
        </w:rPr>
        <w:t>的开源仿真</w:t>
      </w:r>
      <w:r>
        <w:rPr>
          <w:rFonts w:ascii="Times New Roman" w:hAnsi="Times New Roman" w:eastAsia="宋体"/>
          <w:b w:val="0"/>
          <w:sz w:val="24"/>
        </w:rPr>
        <w:t>模型[45]</w:t>
      </w:r>
      <w:r>
        <w:rPr>
          <w:rFonts w:ascii="Times New Roman" w:hAnsi="Times New Roman" w:eastAsia="宋体"/>
          <w:b w:val="0"/>
          <w:strike/>
          <w:sz w:val="24"/>
        </w:rPr>
        <w:t>，但现有全阶机理模型参数高度耦合，主要面向离线高保真仿真，直接应用于板载在线预测控制会导致求解计算负担过重</w:t>
      </w:r>
      <w:r>
        <w:rPr>
          <w:rFonts w:ascii="Times New Roman" w:hAnsi="Times New Roman" w:eastAsia="宋体"/>
          <w:b w:val="0"/>
          <w:sz w:val="24"/>
          <w:highlight w:val="yellow"/>
        </w:rPr>
        <w:t>可供参考，但其参数与仿真条件未必适用于目标构型；全阶模型是否需要简化，应结合预测误差、控制周期和计算资源判断</w:t>
      </w:r>
      <w:r>
        <w:rPr>
          <w:rFonts w:ascii="Times New Roman" w:hAnsi="Times New Roman" w:eastAsia="宋体"/>
          <w:b w:val="0"/>
          <w:sz w:val="24"/>
        </w:rPr>
        <w:t>。因此，</w:t>
      </w:r>
      <w:r>
        <w:rPr>
          <w:rFonts w:ascii="Times New Roman" w:hAnsi="Times New Roman" w:eastAsia="宋体"/>
          <w:b w:val="0"/>
          <w:strike/>
          <w:sz w:val="24"/>
        </w:rPr>
        <w:t>如何在已有开架式</w:t>
      </w:r>
      <w:r>
        <w:rPr>
          <w:rFonts w:ascii="Times New Roman" w:hAnsi="Times New Roman" w:eastAsia="宋体"/>
          <w:b w:val="0"/>
          <w:sz w:val="24"/>
          <w:highlight w:val="yellow"/>
        </w:rPr>
        <w:t>基于已有</w:t>
      </w:r>
      <w:r>
        <w:rPr>
          <w:rFonts w:ascii="Times New Roman" w:hAnsi="Times New Roman" w:eastAsia="宋体"/>
          <w:b w:val="0"/>
          <w:sz w:val="24"/>
        </w:rPr>
        <w:t>机理成果</w:t>
      </w:r>
      <w:r>
        <w:rPr>
          <w:rFonts w:ascii="Times New Roman" w:hAnsi="Times New Roman" w:eastAsia="宋体"/>
          <w:b w:val="0"/>
          <w:strike/>
          <w:sz w:val="24"/>
        </w:rPr>
        <w:t>的基础上，针对八推进器空间矢量构型提炼兼顾主要水动力耦合与在线计算开销的控制导向模型，是开展后续受约束优化控制的前提</w:t>
      </w:r>
      <w:r>
        <w:rPr>
          <w:rFonts w:ascii="Times New Roman" w:hAnsi="Times New Roman" w:eastAsia="宋体"/>
          <w:b w:val="0"/>
          <w:sz w:val="24"/>
          <w:highlight w:val="yellow"/>
        </w:rPr>
        <w:t>检验目标构型的模型有效范围，并权衡预测精度与计算量，是后续控制设计的重要基础</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在参数获取方面，数值计算与试验辨识各有适用条件。高婷等[10]研究了水动力系数的数值计算方法；Chin与Lau[11]、Ross等[12]以及Avila与Adamowski[13]分别从阻尼测量、自由衰减试验和开架式航行器试验辨识等角度提供了参数获取思路。Harris等[15]</w:t>
      </w:r>
      <w:r>
        <w:rPr>
          <w:rFonts w:ascii="Times New Roman" w:hAnsi="Times New Roman" w:eastAsia="宋体"/>
          <w:b w:val="0"/>
          <w:strike/>
          <w:sz w:val="24"/>
        </w:rPr>
        <w:t>进一步研究了水下航行器及其</w:t>
      </w:r>
      <w:r>
        <w:rPr>
          <w:rFonts w:ascii="Times New Roman" w:hAnsi="Times New Roman" w:eastAsia="宋体"/>
          <w:b w:val="0"/>
          <w:sz w:val="24"/>
          <w:highlight w:val="yellow"/>
        </w:rPr>
        <w:t>从系统与</w:t>
      </w:r>
      <w:r>
        <w:rPr>
          <w:rFonts w:ascii="Times New Roman" w:hAnsi="Times New Roman" w:eastAsia="宋体"/>
          <w:b w:val="0"/>
          <w:sz w:val="24"/>
        </w:rPr>
        <w:t>执行器模型</w:t>
      </w:r>
      <w:r>
        <w:rPr>
          <w:rFonts w:ascii="Times New Roman" w:hAnsi="Times New Roman" w:eastAsia="宋体"/>
          <w:b w:val="0"/>
          <w:strike/>
          <w:sz w:val="24"/>
        </w:rPr>
        <w:t>的自适应参数辨识</w:t>
      </w:r>
      <w:r>
        <w:rPr>
          <w:rFonts w:ascii="Times New Roman" w:hAnsi="Times New Roman" w:eastAsia="宋体"/>
          <w:b w:val="0"/>
          <w:sz w:val="24"/>
          <w:highlight w:val="yellow"/>
        </w:rPr>
        <w:t>联合辨识的角度提供了参考</w:t>
      </w:r>
      <w:r>
        <w:rPr>
          <w:rFonts w:ascii="Times New Roman" w:hAnsi="Times New Roman" w:eastAsia="宋体"/>
          <w:b w:val="0"/>
          <w:sz w:val="24"/>
        </w:rPr>
        <w:t>。总体来看，数值方法有利于分析构型与流场的关系，但结果受建模条件影响；试验方法更贴近具体航行器，却依赖可获得的激励数据与测量质量。对</w:t>
      </w:r>
      <w:r>
        <w:rPr>
          <w:rFonts w:ascii="Times New Roman" w:hAnsi="Times New Roman" w:eastAsia="宋体"/>
          <w:b w:val="0"/>
          <w:strike/>
          <w:sz w:val="24"/>
        </w:rPr>
        <w:t>控制模型而言，参数是否能够在预期运动范围内支撑预测，比单纯追求</w:t>
      </w:r>
      <w:r>
        <w:rPr>
          <w:rFonts w:ascii="Times New Roman" w:hAnsi="Times New Roman" w:eastAsia="宋体"/>
          <w:b w:val="0"/>
          <w:sz w:val="24"/>
          <w:highlight w:val="yellow"/>
        </w:rPr>
        <w:t>于面向控制的模型，还应结合目标工况检验关键参数的可辨识性及预测效果，而不宜仅以</w:t>
      </w:r>
      <w:r>
        <w:rPr>
          <w:rFonts w:ascii="Times New Roman" w:hAnsi="Times New Roman" w:eastAsia="宋体"/>
          <w:b w:val="0"/>
          <w:sz w:val="24"/>
        </w:rPr>
        <w:t>参数数量</w:t>
      </w:r>
      <w:r>
        <w:rPr>
          <w:rFonts w:ascii="Times New Roman" w:hAnsi="Times New Roman" w:eastAsia="宋体"/>
          <w:b w:val="0"/>
          <w:strike/>
          <w:sz w:val="24"/>
        </w:rPr>
        <w:t>更为重要</w:t>
      </w:r>
      <w:r>
        <w:rPr>
          <w:rFonts w:ascii="Times New Roman" w:hAnsi="Times New Roman" w:eastAsia="宋体"/>
          <w:b w:val="0"/>
          <w:sz w:val="24"/>
          <w:highlight w:val="yellow"/>
        </w:rPr>
        <w:t>评价模型质量</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trike/>
          <w:sz w:val="24"/>
        </w:rPr>
        <w:t>近年来</w:t>
      </w:r>
      <w:r>
        <w:rPr>
          <w:rFonts w:ascii="Times New Roman" w:hAnsi="Times New Roman" w:eastAsia="宋体"/>
          <w:b w:val="0"/>
          <w:sz w:val="24"/>
          <w:highlight w:val="yellow"/>
        </w:rPr>
        <w:t>除机理建模与试验辨识外</w:t>
      </w:r>
      <w:r>
        <w:rPr>
          <w:rFonts w:ascii="Times New Roman" w:hAnsi="Times New Roman" w:eastAsia="宋体"/>
          <w:b w:val="0"/>
          <w:sz w:val="24"/>
        </w:rPr>
        <w:t>，数据辅助</w:t>
      </w:r>
      <w:r>
        <w:rPr>
          <w:rFonts w:ascii="Times New Roman" w:hAnsi="Times New Roman" w:eastAsia="宋体"/>
          <w:b w:val="0"/>
          <w:strike/>
          <w:sz w:val="24"/>
        </w:rPr>
        <w:t>建模为处理</w:t>
      </w:r>
      <w:r>
        <w:rPr>
          <w:rFonts w:ascii="Times New Roman" w:hAnsi="Times New Roman" w:eastAsia="宋体"/>
          <w:b w:val="0"/>
          <w:sz w:val="24"/>
          <w:highlight w:val="yellow"/>
        </w:rPr>
        <w:t>方法也可用于修正</w:t>
      </w:r>
      <w:r>
        <w:rPr>
          <w:rFonts w:ascii="Times New Roman" w:hAnsi="Times New Roman" w:eastAsia="宋体"/>
          <w:b w:val="0"/>
          <w:sz w:val="24"/>
        </w:rPr>
        <w:t>模型误差</w:t>
      </w:r>
      <w:r>
        <w:rPr>
          <w:rFonts w:ascii="Times New Roman" w:hAnsi="Times New Roman" w:eastAsia="宋体"/>
          <w:b w:val="0"/>
          <w:strike/>
          <w:sz w:val="24"/>
        </w:rPr>
        <w:t>和时变水动力提供了新的方向</w:t>
      </w:r>
      <w:r>
        <w:rPr>
          <w:rFonts w:ascii="Times New Roman" w:hAnsi="Times New Roman" w:eastAsia="宋体"/>
          <w:b w:val="0"/>
          <w:sz w:val="24"/>
        </w:rPr>
        <w:t>。Brunton等[16]的稀疏动力学辨识、Raissi等[17]的物理信息神经网络以及Chen等[18]的神经常微分方程，分别展示了从数据提取动力学规律、融合物理约束和描述连续状态演化的通用思路。需要注意，这些成果并非都针对水下航行器。</w:t>
      </w:r>
      <w:r>
        <w:rPr>
          <w:rFonts w:ascii="Times New Roman" w:hAnsi="Times New Roman" w:eastAsia="宋体"/>
          <w:b w:val="0"/>
          <w:strike/>
          <w:sz w:val="24"/>
        </w:rPr>
        <w:t>更贴近水下应用的研究</w:t>
      </w:r>
      <w:r>
        <w:rPr>
          <w:rFonts w:ascii="Times New Roman" w:hAnsi="Times New Roman" w:eastAsia="宋体"/>
          <w:b w:val="0"/>
          <w:sz w:val="24"/>
          <w:highlight w:val="yellow"/>
        </w:rPr>
        <w:t>在水下机器人应用</w:t>
      </w:r>
      <w:r>
        <w:rPr>
          <w:rFonts w:ascii="Times New Roman" w:hAnsi="Times New Roman" w:eastAsia="宋体"/>
          <w:b w:val="0"/>
          <w:sz w:val="24"/>
        </w:rPr>
        <w:t>中，Liu等[19]利用Koopman方法开展仿生水下机器人水动力在线辨识，</w:t>
      </w:r>
      <w:r>
        <w:rPr>
          <w:rFonts w:ascii="Times New Roman" w:hAnsi="Times New Roman" w:eastAsia="宋体"/>
          <w:b w:val="0"/>
          <w:strike/>
          <w:sz w:val="24"/>
        </w:rPr>
        <w:t>说明机理先验与</w:t>
      </w:r>
      <w:r>
        <w:rPr>
          <w:rFonts w:ascii="Times New Roman" w:hAnsi="Times New Roman" w:eastAsia="宋体"/>
          <w:b w:val="0"/>
          <w:sz w:val="24"/>
          <w:highlight w:val="yellow"/>
        </w:rPr>
        <w:t>为</w:t>
      </w:r>
      <w:r>
        <w:rPr>
          <w:rFonts w:ascii="Times New Roman" w:hAnsi="Times New Roman" w:eastAsia="宋体"/>
          <w:b w:val="0"/>
          <w:sz w:val="24"/>
        </w:rPr>
        <w:t>数据更新</w:t>
      </w:r>
      <w:r>
        <w:rPr>
          <w:rFonts w:ascii="Times New Roman" w:hAnsi="Times New Roman" w:eastAsia="宋体"/>
          <w:b w:val="0"/>
          <w:sz w:val="24"/>
          <w:highlight w:val="yellow"/>
        </w:rPr>
        <w:t>与机理信息</w:t>
      </w:r>
      <w:r>
        <w:rPr>
          <w:rFonts w:ascii="Times New Roman" w:hAnsi="Times New Roman" w:eastAsia="宋体"/>
          <w:b w:val="0"/>
          <w:sz w:val="24"/>
        </w:rPr>
        <w:t>相结合</w:t>
      </w:r>
      <w:r>
        <w:rPr>
          <w:rFonts w:ascii="Times New Roman" w:hAnsi="Times New Roman" w:eastAsia="宋体"/>
          <w:b w:val="0"/>
          <w:strike/>
          <w:sz w:val="24"/>
        </w:rPr>
        <w:t>具有应用潜力，但其结论仍需结合目标航行器构型判断适用性</w:t>
      </w:r>
      <w:r>
        <w:rPr>
          <w:rFonts w:ascii="Times New Roman" w:hAnsi="Times New Roman" w:eastAsia="宋体"/>
          <w:b w:val="0"/>
          <w:sz w:val="24"/>
          <w:highlight w:val="yellow"/>
        </w:rPr>
        <w:t>提供了参考。不过，仿生推进与八推进器开架式构型不同，不能直接推广其模型形式或性能结论</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综合来看，</w:t>
      </w:r>
      <w:r>
        <w:rPr>
          <w:rFonts w:ascii="Times New Roman" w:hAnsi="Times New Roman" w:eastAsia="宋体"/>
          <w:b w:val="0"/>
          <w:strike/>
          <w:sz w:val="24"/>
        </w:rPr>
        <w:t>水下航行器建模正由单一高保真机理描述，向机理约束</w:t>
      </w:r>
      <w:r>
        <w:rPr>
          <w:rFonts w:ascii="Times New Roman" w:hAnsi="Times New Roman" w:eastAsia="宋体"/>
          <w:b w:val="0"/>
          <w:sz w:val="24"/>
          <w:highlight w:val="yellow"/>
        </w:rPr>
        <w:t>机理建模</w:t>
      </w:r>
      <w:r>
        <w:rPr>
          <w:rFonts w:ascii="Times New Roman" w:hAnsi="Times New Roman" w:eastAsia="宋体"/>
          <w:b w:val="0"/>
          <w:sz w:val="24"/>
        </w:rPr>
        <w:t>、参数辨识</w:t>
      </w:r>
      <w:r>
        <w:rPr>
          <w:rFonts w:ascii="Times New Roman" w:hAnsi="Times New Roman" w:eastAsia="宋体"/>
          <w:b w:val="0"/>
          <w:strike/>
          <w:sz w:val="24"/>
        </w:rPr>
        <w:t>和</w:t>
      </w:r>
      <w:r>
        <w:rPr>
          <w:rFonts w:ascii="Times New Roman" w:hAnsi="Times New Roman" w:eastAsia="宋体"/>
          <w:b w:val="0"/>
          <w:sz w:val="24"/>
          <w:highlight w:val="yellow"/>
        </w:rPr>
        <w:t>与</w:t>
      </w:r>
      <w:r>
        <w:rPr>
          <w:rFonts w:ascii="Times New Roman" w:hAnsi="Times New Roman" w:eastAsia="宋体"/>
          <w:b w:val="0"/>
          <w:sz w:val="24"/>
        </w:rPr>
        <w:t>数据修正</w:t>
      </w:r>
      <w:r>
        <w:rPr>
          <w:rFonts w:ascii="Times New Roman" w:hAnsi="Times New Roman" w:eastAsia="宋体"/>
          <w:b w:val="0"/>
          <w:strike/>
          <w:sz w:val="24"/>
        </w:rPr>
        <w:t>相结合的控制导向模型发展</w:t>
      </w:r>
      <w:r>
        <w:rPr>
          <w:rFonts w:ascii="Times New Roman" w:hAnsi="Times New Roman" w:eastAsia="宋体"/>
          <w:b w:val="0"/>
          <w:sz w:val="24"/>
          <w:highlight w:val="yellow"/>
        </w:rPr>
        <w:t>正在形成互补思路，但模型复杂度的选择仍取决于对象、工况和计算条件</w:t>
      </w:r>
      <w:r>
        <w:rPr>
          <w:rFonts w:ascii="Times New Roman" w:hAnsi="Times New Roman" w:eastAsia="宋体"/>
          <w:b w:val="0"/>
          <w:sz w:val="24"/>
        </w:rPr>
        <w:t>。详细模型有利于解释水动力耦合，却可能增加预测计算量；过度简化则可能降低多自由度运动时的预测可靠性。因此，</w:t>
      </w:r>
      <w:r>
        <w:rPr>
          <w:rFonts w:ascii="Times New Roman" w:hAnsi="Times New Roman" w:eastAsia="宋体"/>
          <w:b w:val="0"/>
          <w:strike/>
          <w:sz w:val="24"/>
        </w:rPr>
        <w:t>对八推进器水下</w:t>
      </w:r>
      <w:r>
        <w:rPr>
          <w:rFonts w:ascii="Times New Roman" w:hAnsi="Times New Roman" w:eastAsia="宋体"/>
          <w:b w:val="0"/>
          <w:sz w:val="24"/>
          <w:highlight w:val="yellow"/>
        </w:rPr>
        <w:t>本课题需要进一步判断：哪些水动力项对目标</w:t>
      </w:r>
      <w:r>
        <w:rPr>
          <w:rFonts w:ascii="Times New Roman" w:hAnsi="Times New Roman" w:eastAsia="宋体"/>
          <w:b w:val="0"/>
          <w:sz w:val="24"/>
        </w:rPr>
        <w:t>航行器</w:t>
      </w:r>
      <w:r>
        <w:rPr>
          <w:rFonts w:ascii="Times New Roman" w:hAnsi="Times New Roman" w:eastAsia="宋体"/>
          <w:b w:val="0"/>
          <w:strike/>
          <w:sz w:val="24"/>
        </w:rPr>
        <w:t>而言，值得进一步研究的是：在保留主要耦合特征的前提下，如何平衡多步预测精度、参数</w:t>
      </w:r>
      <w:r>
        <w:rPr>
          <w:rFonts w:ascii="Times New Roman" w:hAnsi="Times New Roman" w:eastAsia="宋体"/>
          <w:b w:val="0"/>
          <w:sz w:val="24"/>
          <w:highlight w:val="yellow"/>
        </w:rPr>
        <w:t>的低速位姿控制影响显著，以及在</w:t>
      </w:r>
      <w:r>
        <w:rPr>
          <w:rFonts w:ascii="Times New Roman" w:hAnsi="Times New Roman" w:eastAsia="宋体"/>
          <w:b w:val="0"/>
          <w:sz w:val="24"/>
        </w:rPr>
        <w:t>可获得</w:t>
      </w:r>
      <w:r>
        <w:rPr>
          <w:rFonts w:ascii="Times New Roman" w:hAnsi="Times New Roman" w:eastAsia="宋体"/>
          <w:b w:val="0"/>
          <w:strike/>
          <w:sz w:val="24"/>
        </w:rPr>
        <w:t>性与在线计算开销</w:t>
      </w:r>
      <w:r>
        <w:rPr>
          <w:rFonts w:ascii="Times New Roman" w:hAnsi="Times New Roman" w:eastAsia="宋体"/>
          <w:b w:val="0"/>
          <w:sz w:val="24"/>
          <w:highlight w:val="yellow"/>
        </w:rPr>
        <w:t>的参数数据和计算条件下能够达到怎样的预测效果</w:t>
      </w:r>
      <w:r>
        <w:rPr>
          <w:rFonts w:ascii="Times New Roman" w:hAnsi="Times New Roman" w:eastAsia="宋体"/>
          <w:b w:val="0"/>
          <w:sz w:val="24"/>
        </w:rPr>
        <w:t>。</w:t>
      </w:r>
    </w:p>
    <w:p>
      <w:pPr>
        <w:pStyle w:val="a7"/>
        <w:spacing w:line="360" w:lineRule="auto" w:beforeLines="50" w:before="120" w:afterLines="50" w:after="120"/>
        <w:ind w:firstLineChars="200" w:firstLine="0" w:left="0"/>
      </w:pPr>
      <w:r>
        <w:rPr>
          <w:rFonts w:ascii="Times New Roman" w:hAnsi="Times New Roman" w:eastAsia="黑体"/>
          <w:b/>
          <w:sz w:val="24"/>
        </w:rPr>
        <w:t>2.2 多推进器水下航行器受约束运动控制与推力分配研究现状</w:t>
      </w:r>
    </w:p>
    <w:p>
      <w:pPr>
        <w:pStyle w:val="a7"/>
        <w:spacing w:line="360" w:lineRule="auto" w:beforeLines="0" w:before="120" w:afterLines="0" w:after="120"/>
        <w:ind w:firstLineChars="200" w:firstLine="482" w:left="0"/>
      </w:pPr>
      <w:r>
        <w:rPr>
          <w:rFonts w:ascii="Times New Roman" w:hAnsi="Times New Roman" w:eastAsia="宋体"/>
          <w:b w:val="0"/>
          <w:sz w:val="24"/>
        </w:rPr>
        <w:t>多推进器航行器的运动控制不仅取决于控制律，还取决于推进器布置及其可输出的推力范围。</w:t>
      </w:r>
      <w:r>
        <w:rPr>
          <w:rFonts w:ascii="Times New Roman" w:hAnsi="Times New Roman" w:eastAsia="宋体"/>
          <w:b w:val="0"/>
          <w:strike/>
          <w:sz w:val="24"/>
        </w:rPr>
        <w:t>对于</w:t>
      </w:r>
      <w:r>
        <w:rPr>
          <w:rFonts w:ascii="Times New Roman" w:hAnsi="Times New Roman" w:eastAsia="宋体"/>
          <w:b w:val="0"/>
          <w:sz w:val="24"/>
          <w:highlight w:val="yellow"/>
        </w:rPr>
        <w:t>需要区分六自由度动力学描述与六自由度独立控制能力：</w:t>
      </w:r>
      <w:r>
        <w:rPr>
          <w:rFonts w:ascii="Times New Roman" w:hAnsi="Times New Roman" w:eastAsia="宋体"/>
          <w:b w:val="0"/>
          <w:sz w:val="24"/>
        </w:rPr>
        <w:t>八推进器</w:t>
      </w:r>
      <w:r>
        <w:rPr>
          <w:rFonts w:ascii="Times New Roman" w:hAnsi="Times New Roman" w:eastAsia="宋体"/>
          <w:b w:val="0"/>
          <w:strike/>
          <w:sz w:val="24"/>
        </w:rPr>
        <w:t>构型，能否形成所需的六自由度合</w:t>
      </w:r>
      <w:r>
        <w:rPr>
          <w:rFonts w:ascii="Times New Roman" w:hAnsi="Times New Roman" w:eastAsia="宋体"/>
          <w:b w:val="0"/>
          <w:sz w:val="24"/>
          <w:highlight w:val="yellow"/>
        </w:rPr>
        <w:t>并不必然意味着全部</w:t>
      </w:r>
      <w:r>
        <w:rPr>
          <w:rFonts w:ascii="Times New Roman" w:hAnsi="Times New Roman" w:eastAsia="宋体"/>
          <w:b w:val="0"/>
          <w:sz w:val="24"/>
        </w:rPr>
        <w:t>力与力矩</w:t>
      </w:r>
      <w:r>
        <w:rPr>
          <w:rFonts w:ascii="Times New Roman" w:hAnsi="Times New Roman" w:eastAsia="宋体"/>
          <w:b w:val="0"/>
          <w:strike/>
          <w:sz w:val="24"/>
        </w:rPr>
        <w:t>，需要结合</w:t>
      </w:r>
      <w:r>
        <w:rPr>
          <w:rFonts w:ascii="Times New Roman" w:hAnsi="Times New Roman" w:eastAsia="宋体"/>
          <w:b w:val="0"/>
          <w:sz w:val="24"/>
          <w:highlight w:val="yellow"/>
        </w:rPr>
        <w:t>方向均能独立控制，其可实现的控制轴向和合力、力矩范围取决于</w:t>
      </w:r>
      <w:r>
        <w:rPr>
          <w:rFonts w:ascii="Times New Roman" w:hAnsi="Times New Roman" w:eastAsia="宋体"/>
          <w:b w:val="0"/>
          <w:sz w:val="24"/>
        </w:rPr>
        <w:t>推进器安装方向</w:t>
      </w:r>
      <w:r>
        <w:rPr>
          <w:rFonts w:ascii="Times New Roman" w:hAnsi="Times New Roman" w:eastAsia="宋体"/>
          <w:b w:val="0"/>
          <w:strike/>
          <w:sz w:val="24"/>
        </w:rPr>
        <w:t>及</w:t>
      </w:r>
      <w:r>
        <w:rPr>
          <w:rFonts w:ascii="Times New Roman" w:hAnsi="Times New Roman" w:eastAsia="宋体"/>
          <w:b w:val="0"/>
          <w:sz w:val="24"/>
          <w:highlight w:val="yellow"/>
        </w:rPr>
        <w:t>、</w:t>
      </w:r>
      <w:r>
        <w:rPr>
          <w:rFonts w:ascii="Times New Roman" w:hAnsi="Times New Roman" w:eastAsia="宋体"/>
          <w:b w:val="0"/>
          <w:sz w:val="24"/>
        </w:rPr>
        <w:t>控制分配矩阵</w:t>
      </w:r>
      <w:r>
        <w:rPr>
          <w:rFonts w:ascii="Times New Roman" w:hAnsi="Times New Roman" w:eastAsia="宋体"/>
          <w:b w:val="0"/>
          <w:strike/>
          <w:sz w:val="24"/>
        </w:rPr>
        <w:t>判断</w:t>
      </w:r>
      <w:r>
        <w:rPr>
          <w:rFonts w:ascii="Times New Roman" w:hAnsi="Times New Roman" w:eastAsia="宋体"/>
          <w:b w:val="0"/>
          <w:sz w:val="24"/>
          <w:highlight w:val="yellow"/>
        </w:rPr>
        <w:t>及推力限值</w:t>
      </w:r>
      <w:r>
        <w:rPr>
          <w:rFonts w:ascii="Times New Roman" w:hAnsi="Times New Roman" w:eastAsia="宋体"/>
          <w:b w:val="0"/>
          <w:sz w:val="24"/>
        </w:rPr>
        <w:t>；推进器</w:t>
      </w:r>
      <w:r>
        <w:rPr>
          <w:rFonts w:ascii="Times New Roman" w:hAnsi="Times New Roman" w:eastAsia="宋体"/>
          <w:b w:val="0"/>
          <w:strike/>
          <w:sz w:val="24"/>
        </w:rPr>
        <w:t>最大推力、</w:t>
      </w:r>
      <w:r>
        <w:rPr>
          <w:rFonts w:ascii="Times New Roman" w:hAnsi="Times New Roman" w:eastAsia="宋体"/>
          <w:b w:val="0"/>
          <w:sz w:val="24"/>
        </w:rPr>
        <w:t>响应滞后等</w:t>
      </w:r>
      <w:r>
        <w:rPr>
          <w:rFonts w:ascii="Times New Roman" w:hAnsi="Times New Roman" w:eastAsia="宋体"/>
          <w:b w:val="0"/>
          <w:strike/>
          <w:sz w:val="24"/>
        </w:rPr>
        <w:t>特性则可能进一步限制实际控制能力</w:t>
      </w:r>
      <w:r>
        <w:rPr>
          <w:rFonts w:ascii="Times New Roman" w:hAnsi="Times New Roman" w:eastAsia="宋体"/>
          <w:b w:val="0"/>
          <w:sz w:val="24"/>
          <w:highlight w:val="yellow"/>
        </w:rPr>
        <w:t>因素还会影响实际输出</w:t>
      </w:r>
      <w:r>
        <w:rPr>
          <w:rFonts w:ascii="Times New Roman" w:hAnsi="Times New Roman" w:eastAsia="宋体"/>
          <w:b w:val="0"/>
          <w:sz w:val="24"/>
        </w:rPr>
        <w:t>。因此，</w:t>
      </w:r>
      <w:r>
        <w:rPr>
          <w:rFonts w:ascii="Times New Roman" w:hAnsi="Times New Roman" w:eastAsia="宋体"/>
          <w:b w:val="0"/>
          <w:strike/>
          <w:sz w:val="24"/>
        </w:rPr>
        <w:t>相关研究需要同时</w:t>
      </w:r>
      <w:r>
        <w:rPr>
          <w:rFonts w:ascii="Times New Roman" w:hAnsi="Times New Roman" w:eastAsia="宋体"/>
          <w:b w:val="0"/>
          <w:sz w:val="24"/>
          <w:highlight w:val="yellow"/>
        </w:rPr>
        <w:t>评价控制方法不仅应</w:t>
      </w:r>
      <w:r>
        <w:rPr>
          <w:rFonts w:ascii="Times New Roman" w:hAnsi="Times New Roman" w:eastAsia="宋体"/>
          <w:b w:val="0"/>
          <w:sz w:val="24"/>
        </w:rPr>
        <w:t>比较位</w:t>
      </w:r>
      <w:r>
        <w:rPr>
          <w:rFonts w:ascii="Times New Roman" w:hAnsi="Times New Roman" w:eastAsia="宋体"/>
          <w:b w:val="0"/>
          <w:strike/>
          <w:sz w:val="24"/>
        </w:rPr>
        <w:t>置与姿态跟踪性能、推力约束处理方式以</w:t>
      </w:r>
      <w:r>
        <w:rPr>
          <w:rFonts w:ascii="Times New Roman" w:hAnsi="Times New Roman" w:eastAsia="宋体"/>
          <w:b w:val="0"/>
          <w:sz w:val="24"/>
          <w:highlight w:val="yellow"/>
        </w:rPr>
        <w:t>姿跟踪误差，还需检查推力可实现性</w:t>
      </w:r>
      <w:r>
        <w:rPr>
          <w:rFonts w:ascii="Times New Roman" w:hAnsi="Times New Roman" w:eastAsia="宋体"/>
          <w:b w:val="0"/>
          <w:sz w:val="24"/>
        </w:rPr>
        <w:t>及控制计算的实时性。</w:t>
      </w:r>
    </w:p>
    <w:p>
      <w:pPr>
        <w:pStyle w:val="a7"/>
        <w:spacing w:line="360" w:lineRule="auto" w:beforeLines="0" w:before="120" w:afterLines="0" w:after="120"/>
        <w:ind w:firstLineChars="200" w:firstLine="482" w:left="0"/>
      </w:pPr>
      <w:r>
        <w:rPr>
          <w:rFonts w:ascii="Times New Roman" w:hAnsi="Times New Roman" w:eastAsia="宋体"/>
          <w:b w:val="0"/>
          <w:sz w:val="24"/>
        </w:rPr>
        <w:t>在常规与鲁棒控制方面，Yuh[20]、朱大奇和孙兵[21]对水下机器人控制方法进行了梳理。PID控制结构相对简单、便于实现和调试，但在多轴耦合明显或推进器接近饱和时，通常需要结合补偿与限幅机制。Yoerger与Slotine[23]、Healey与Lienard[24]研究了面向水下航行器的鲁棒及滑模控制方法，Chu等[25]进一步考虑推进器动态特性和输入饱和。</w:t>
      </w:r>
      <w:r>
        <w:rPr>
          <w:rFonts w:ascii="Times New Roman" w:hAnsi="Times New Roman" w:eastAsia="宋体"/>
          <w:b w:val="0"/>
          <w:strike/>
          <w:sz w:val="24"/>
        </w:rPr>
        <w:t>上述方法</w:t>
      </w:r>
      <w:r>
        <w:rPr>
          <w:rFonts w:ascii="Times New Roman" w:hAnsi="Times New Roman" w:eastAsia="宋体"/>
          <w:b w:val="0"/>
          <w:sz w:val="24"/>
          <w:highlight w:val="yellow"/>
        </w:rPr>
        <w:t>这些研究</w:t>
      </w:r>
      <w:r>
        <w:rPr>
          <w:rFonts w:ascii="Times New Roman" w:hAnsi="Times New Roman" w:eastAsia="宋体"/>
          <w:b w:val="0"/>
          <w:sz w:val="24"/>
        </w:rPr>
        <w:t>为处理模型不确定性与执行器非理想特性提供了参考</w:t>
      </w:r>
      <w:r>
        <w:rPr>
          <w:rFonts w:ascii="Times New Roman" w:hAnsi="Times New Roman" w:eastAsia="宋体"/>
          <w:b w:val="0"/>
          <w:strike/>
          <w:sz w:val="24"/>
        </w:rPr>
        <w:t>，但不同控制方法对约束的处理方式并不</w:t>
      </w:r>
      <w:r>
        <w:rPr>
          <w:rFonts w:ascii="Times New Roman" w:hAnsi="Times New Roman" w:eastAsia="宋体"/>
          <w:b w:val="0"/>
          <w:sz w:val="24"/>
          <w:highlight w:val="yellow"/>
        </w:rPr>
        <w:t>。基于模型的前馈补偿还可与反馈控制结合，但其效果依赖模型参数与状态信息；不同方法处理推力限制的机制不尽</w:t>
      </w:r>
      <w:r>
        <w:rPr>
          <w:rFonts w:ascii="Times New Roman" w:hAnsi="Times New Roman" w:eastAsia="宋体"/>
          <w:b w:val="0"/>
          <w:sz w:val="24"/>
        </w:rPr>
        <w:t>相同，不能笼统</w:t>
      </w:r>
      <w:r>
        <w:rPr>
          <w:rFonts w:ascii="Times New Roman" w:hAnsi="Times New Roman" w:eastAsia="宋体"/>
          <w:b w:val="0"/>
          <w:strike/>
          <w:sz w:val="24"/>
        </w:rPr>
        <w:t>地认为传统</w:t>
      </w:r>
      <w:r>
        <w:rPr>
          <w:rFonts w:ascii="Times New Roman" w:hAnsi="Times New Roman" w:eastAsia="宋体"/>
          <w:b w:val="0"/>
          <w:sz w:val="24"/>
          <w:highlight w:val="yellow"/>
        </w:rPr>
        <w:t>认定常规</w:t>
      </w:r>
      <w:r>
        <w:rPr>
          <w:rFonts w:ascii="Times New Roman" w:hAnsi="Times New Roman" w:eastAsia="宋体"/>
          <w:b w:val="0"/>
          <w:sz w:val="24"/>
        </w:rPr>
        <w:t>反馈控制</w:t>
      </w:r>
      <w:r>
        <w:rPr>
          <w:rFonts w:ascii="Times New Roman" w:hAnsi="Times New Roman" w:eastAsia="宋体"/>
          <w:b w:val="0"/>
          <w:strike/>
          <w:sz w:val="24"/>
        </w:rPr>
        <w:t>均无法处理推力限制</w:t>
      </w:r>
      <w:r>
        <w:rPr>
          <w:rFonts w:ascii="Times New Roman" w:hAnsi="Times New Roman" w:eastAsia="宋体"/>
          <w:b w:val="0"/>
          <w:sz w:val="24"/>
          <w:highlight w:val="yellow"/>
        </w:rPr>
        <w:t>无法考虑执行器约束</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在预测控制方面，模型预测控制（MPC）通过预测未来状态并滚动求解优化问题，能够将跟踪误差与控制输入等指标纳入目标函数，并显式设置一定形式的状态、输入约束。张磊等[29]总结了水下航行器MPC的主要研究路线；Heshmati-Alamdari等[30-31]分别在受限工作空间的水下平台和欠驱动水下航行器上研究鲁棒非线性MPC，</w:t>
      </w:r>
      <w:r>
        <w:rPr>
          <w:rFonts w:ascii="Times New Roman" w:hAnsi="Times New Roman" w:eastAsia="宋体"/>
          <w:b w:val="0"/>
          <w:strike/>
          <w:sz w:val="24"/>
        </w:rPr>
        <w:t>体现了预测控制在扰动、</w:t>
      </w:r>
      <w:r>
        <w:rPr>
          <w:rFonts w:ascii="Times New Roman" w:hAnsi="Times New Roman" w:eastAsia="宋体"/>
          <w:b w:val="0"/>
          <w:sz w:val="24"/>
          <w:highlight w:val="yellow"/>
        </w:rPr>
        <w:t>说明在相应模型和工况假设下，非线性MPC可协调</w:t>
      </w:r>
      <w:r>
        <w:rPr>
          <w:rFonts w:ascii="Times New Roman" w:hAnsi="Times New Roman" w:eastAsia="宋体"/>
          <w:b w:val="0"/>
          <w:sz w:val="24"/>
        </w:rPr>
        <w:t>轨迹跟踪</w:t>
      </w:r>
      <w:r>
        <w:rPr>
          <w:rFonts w:ascii="Times New Roman" w:hAnsi="Times New Roman" w:eastAsia="宋体"/>
          <w:b w:val="0"/>
          <w:strike/>
          <w:sz w:val="24"/>
        </w:rPr>
        <w:t>和</w:t>
      </w:r>
      <w:r>
        <w:rPr>
          <w:rFonts w:ascii="Times New Roman" w:hAnsi="Times New Roman" w:eastAsia="宋体"/>
          <w:b w:val="0"/>
          <w:sz w:val="24"/>
          <w:highlight w:val="yellow"/>
        </w:rPr>
        <w:t>、扰动影响与</w:t>
      </w:r>
      <w:r>
        <w:rPr>
          <w:rFonts w:ascii="Times New Roman" w:hAnsi="Times New Roman" w:eastAsia="宋体"/>
          <w:b w:val="0"/>
          <w:sz w:val="24"/>
        </w:rPr>
        <w:t>输入约束</w:t>
      </w:r>
      <w:r>
        <w:rPr>
          <w:rFonts w:ascii="Times New Roman" w:hAnsi="Times New Roman" w:eastAsia="宋体"/>
          <w:b w:val="0"/>
          <w:strike/>
          <w:sz w:val="24"/>
        </w:rPr>
        <w:t>共同存在时的应用价值</w:t>
      </w:r>
      <w:r>
        <w:rPr>
          <w:rFonts w:ascii="Times New Roman" w:hAnsi="Times New Roman" w:eastAsia="宋体"/>
          <w:b w:val="0"/>
          <w:sz w:val="24"/>
        </w:rPr>
        <w:t>。不过，这些研究所针对的自由度、推进器配置和计算平台并不完全相同，尚不能据此</w:t>
      </w:r>
      <w:r>
        <w:rPr>
          <w:rFonts w:ascii="Times New Roman" w:hAnsi="Times New Roman" w:eastAsia="宋体"/>
          <w:b w:val="0"/>
          <w:strike/>
          <w:sz w:val="24"/>
        </w:rPr>
        <w:t>推断六自由度</w:t>
      </w:r>
      <w:r>
        <w:rPr>
          <w:rFonts w:ascii="Times New Roman" w:hAnsi="Times New Roman" w:eastAsia="宋体"/>
          <w:b w:val="0"/>
          <w:sz w:val="24"/>
          <w:highlight w:val="yellow"/>
        </w:rPr>
        <w:t>直接判断目标</w:t>
      </w:r>
      <w:r>
        <w:rPr>
          <w:rFonts w:ascii="Times New Roman" w:hAnsi="Times New Roman" w:eastAsia="宋体"/>
          <w:b w:val="0"/>
          <w:sz w:val="24"/>
        </w:rPr>
        <w:t>八推进器构型</w:t>
      </w:r>
      <w:r>
        <w:rPr>
          <w:rFonts w:ascii="Times New Roman" w:hAnsi="Times New Roman" w:eastAsia="宋体"/>
          <w:b w:val="0"/>
          <w:strike/>
          <w:sz w:val="24"/>
        </w:rPr>
        <w:t>在</w:t>
      </w:r>
      <w:r>
        <w:rPr>
          <w:rFonts w:ascii="Times New Roman" w:hAnsi="Times New Roman" w:eastAsia="宋体"/>
          <w:b w:val="0"/>
          <w:sz w:val="24"/>
          <w:highlight w:val="yellow"/>
        </w:rPr>
        <w:t>的推力可行性及</w:t>
      </w:r>
      <w:r>
        <w:rPr>
          <w:rFonts w:ascii="Times New Roman" w:hAnsi="Times New Roman" w:eastAsia="宋体"/>
          <w:b w:val="0"/>
          <w:sz w:val="24"/>
        </w:rPr>
        <w:t>PX4</w:t>
      </w:r>
      <w:r>
        <w:rPr>
          <w:rFonts w:ascii="Times New Roman" w:hAnsi="Times New Roman" w:eastAsia="宋体"/>
          <w:b w:val="0"/>
          <w:strike/>
          <w:sz w:val="24"/>
        </w:rPr>
        <w:t>平台上的实时性能</w:t>
      </w:r>
      <w:r>
        <w:rPr>
          <w:rFonts w:ascii="Times New Roman" w:hAnsi="Times New Roman" w:eastAsia="宋体"/>
          <w:b w:val="0"/>
          <w:sz w:val="24"/>
          <w:highlight w:val="yellow"/>
        </w:rPr>
        <w:t>运行开销</w:t>
      </w:r>
      <w:r>
        <w:rPr>
          <w:rFonts w:ascii="Times New Roman" w:hAnsi="Times New Roman" w:eastAsia="宋体"/>
          <w:b w:val="0"/>
          <w:sz w:val="24"/>
        </w:rPr>
        <w:t>。线性化MPC与非线性MPC在模型表达能力和在线求解开销之间的取舍，仍需面向具体对象分析。</w:t>
      </w:r>
    </w:p>
    <w:p>
      <w:pPr>
        <w:pStyle w:val="a7"/>
        <w:spacing w:line="360" w:lineRule="auto" w:beforeLines="0" w:before="120" w:afterLines="0" w:after="120"/>
        <w:ind w:firstLineChars="200" w:firstLine="482" w:left="0"/>
      </w:pPr>
      <w:r>
        <w:rPr>
          <w:rFonts w:ascii="Times New Roman" w:hAnsi="Times New Roman" w:eastAsia="宋体"/>
          <w:b w:val="0"/>
          <w:sz w:val="24"/>
        </w:rPr>
        <w:t>在推力分配方面，</w:t>
      </w:r>
      <w:r>
        <w:rPr>
          <w:rFonts w:ascii="Times New Roman" w:hAnsi="Times New Roman" w:eastAsia="宋体"/>
          <w:b w:val="0"/>
          <w:strike/>
          <w:sz w:val="24"/>
        </w:rPr>
        <w:t>运动</w:t>
      </w:r>
      <w:r>
        <w:rPr>
          <w:rFonts w:ascii="Times New Roman" w:hAnsi="Times New Roman" w:eastAsia="宋体"/>
          <w:b w:val="0"/>
          <w:sz w:val="24"/>
          <w:highlight w:val="yellow"/>
        </w:rPr>
        <w:t>当上层</w:t>
      </w:r>
      <w:r>
        <w:rPr>
          <w:rFonts w:ascii="Times New Roman" w:hAnsi="Times New Roman" w:eastAsia="宋体"/>
          <w:b w:val="0"/>
          <w:sz w:val="24"/>
        </w:rPr>
        <w:t>控制器</w:t>
      </w:r>
      <w:r>
        <w:rPr>
          <w:rFonts w:ascii="Times New Roman" w:hAnsi="Times New Roman" w:eastAsia="宋体"/>
          <w:b w:val="0"/>
          <w:strike/>
          <w:sz w:val="24"/>
        </w:rPr>
        <w:t>输出的六自由度</w:t>
      </w:r>
      <w:r>
        <w:rPr>
          <w:rFonts w:ascii="Times New Roman" w:hAnsi="Times New Roman" w:eastAsia="宋体"/>
          <w:b w:val="0"/>
          <w:sz w:val="24"/>
          <w:highlight w:val="yellow"/>
        </w:rPr>
        <w:t>给出期望</w:t>
      </w:r>
      <w:r>
        <w:rPr>
          <w:rFonts w:ascii="Times New Roman" w:hAnsi="Times New Roman" w:eastAsia="宋体"/>
          <w:b w:val="0"/>
          <w:sz w:val="24"/>
        </w:rPr>
        <w:t>合力与力矩</w:t>
      </w:r>
      <w:r>
        <w:rPr>
          <w:rFonts w:ascii="Times New Roman" w:hAnsi="Times New Roman" w:eastAsia="宋体"/>
          <w:b w:val="0"/>
          <w:strike/>
          <w:sz w:val="24"/>
        </w:rPr>
        <w:t>，需要根</w:t>
      </w:r>
      <w:r>
        <w:rPr>
          <w:rFonts w:ascii="Times New Roman" w:hAnsi="Times New Roman" w:eastAsia="宋体"/>
          <w:b w:val="0"/>
          <w:sz w:val="24"/>
          <w:highlight w:val="yellow"/>
        </w:rPr>
        <w:t>时，仍需依</w:t>
      </w:r>
      <w:r>
        <w:rPr>
          <w:rFonts w:ascii="Times New Roman" w:hAnsi="Times New Roman" w:eastAsia="宋体"/>
          <w:b w:val="0"/>
          <w:sz w:val="24"/>
        </w:rPr>
        <w:t>据推进器</w:t>
      </w:r>
      <w:r>
        <w:rPr>
          <w:rFonts w:ascii="Times New Roman" w:hAnsi="Times New Roman" w:eastAsia="宋体"/>
          <w:b w:val="0"/>
          <w:sz w:val="24"/>
          <w:highlight w:val="yellow"/>
        </w:rPr>
        <w:t>的</w:t>
      </w:r>
      <w:r>
        <w:rPr>
          <w:rFonts w:ascii="Times New Roman" w:hAnsi="Times New Roman" w:eastAsia="宋体"/>
          <w:b w:val="0"/>
          <w:sz w:val="24"/>
        </w:rPr>
        <w:t>位置和安装方向</w:t>
      </w:r>
      <w:r>
        <w:rPr>
          <w:rFonts w:ascii="Times New Roman" w:hAnsi="Times New Roman" w:eastAsia="宋体"/>
          <w:b w:val="0"/>
          <w:sz w:val="24"/>
          <w:highlight w:val="yellow"/>
        </w:rPr>
        <w:t>将其</w:t>
      </w:r>
      <w:r>
        <w:rPr>
          <w:rFonts w:ascii="Times New Roman" w:hAnsi="Times New Roman" w:eastAsia="宋体"/>
          <w:b w:val="0"/>
          <w:sz w:val="24"/>
        </w:rPr>
        <w:t>转换为各推进器指令。Johansen与Fossen[37]总结了控制分配的主要方法；Bodson[38]和Härkegård[39]讨论了包含执行器约束的优化分配算法。面向水下平台，程卫平等[40]研究了多推进器推力分配，孙功武等[41]提出了混合推进ROV的分配策略，Li等[42]则针对冗余推进器的故障情形研究了容错控制。相关成果表明，广义逆方法便于实现，而优化分配更易纳入推力边界或性能权重，但其效果和计算代价取决于约束、目标函数及具体求解实现。</w:t>
      </w:r>
    </w:p>
    <w:p>
      <w:pPr>
        <w:pStyle w:val="a7"/>
        <w:spacing w:line="360" w:lineRule="auto" w:beforeLines="0" w:before="120" w:afterLines="0" w:after="120"/>
        <w:ind w:firstLineChars="200" w:firstLine="482" w:left="0"/>
      </w:pPr>
      <w:r>
        <w:rPr>
          <w:rFonts w:ascii="Times New Roman" w:hAnsi="Times New Roman" w:eastAsia="宋体"/>
          <w:b w:val="0"/>
          <w:sz w:val="24"/>
        </w:rPr>
        <w:t>现有成果提示，预测控制与推力分配不能只在算法层面分别考察。若上层控制器</w:t>
      </w:r>
      <w:r>
        <w:rPr>
          <w:rFonts w:ascii="Times New Roman" w:hAnsi="Times New Roman" w:eastAsia="宋体"/>
          <w:b w:val="0"/>
          <w:strike/>
          <w:sz w:val="24"/>
        </w:rPr>
        <w:t>计算</w:t>
      </w:r>
      <w:r>
        <w:rPr>
          <w:rFonts w:ascii="Times New Roman" w:hAnsi="Times New Roman" w:eastAsia="宋体"/>
          <w:b w:val="0"/>
          <w:sz w:val="24"/>
          <w:highlight w:val="yellow"/>
        </w:rPr>
        <w:t>给出</w:t>
      </w:r>
      <w:r>
        <w:rPr>
          <w:rFonts w:ascii="Times New Roman" w:hAnsi="Times New Roman" w:eastAsia="宋体"/>
          <w:b w:val="0"/>
          <w:sz w:val="24"/>
        </w:rPr>
        <w:t>的合力与力矩超出推进器</w:t>
      </w:r>
      <w:r>
        <w:rPr>
          <w:rFonts w:ascii="Times New Roman" w:hAnsi="Times New Roman" w:eastAsia="宋体"/>
          <w:b w:val="0"/>
          <w:strike/>
          <w:sz w:val="24"/>
        </w:rPr>
        <w:t>实际</w:t>
      </w:r>
      <w:r>
        <w:rPr>
          <w:rFonts w:ascii="Times New Roman" w:hAnsi="Times New Roman" w:eastAsia="宋体"/>
          <w:b w:val="0"/>
          <w:sz w:val="24"/>
        </w:rPr>
        <w:t>可实现</w:t>
      </w:r>
      <w:r>
        <w:rPr>
          <w:rFonts w:ascii="Times New Roman" w:hAnsi="Times New Roman" w:eastAsia="宋体"/>
          <w:b w:val="0"/>
          <w:strike/>
          <w:sz w:val="24"/>
        </w:rPr>
        <w:t>的</w:t>
      </w:r>
      <w:r>
        <w:rPr>
          <w:rFonts w:ascii="Times New Roman" w:hAnsi="Times New Roman" w:eastAsia="宋体"/>
          <w:b w:val="0"/>
          <w:sz w:val="24"/>
        </w:rPr>
        <w:t>范围，下层</w:t>
      </w:r>
      <w:r>
        <w:rPr>
          <w:rFonts w:ascii="Times New Roman" w:hAnsi="Times New Roman" w:eastAsia="宋体"/>
          <w:b w:val="0"/>
          <w:strike/>
          <w:sz w:val="24"/>
        </w:rPr>
        <w:t>分配</w:t>
      </w:r>
      <w:r>
        <w:rPr>
          <w:rFonts w:ascii="Times New Roman" w:hAnsi="Times New Roman" w:eastAsia="宋体"/>
          <w:b w:val="0"/>
          <w:sz w:val="24"/>
        </w:rPr>
        <w:t>即使满足单个推进器</w:t>
      </w:r>
      <w:r>
        <w:rPr>
          <w:rFonts w:ascii="Times New Roman" w:hAnsi="Times New Roman" w:eastAsia="宋体"/>
          <w:b w:val="0"/>
          <w:strike/>
          <w:sz w:val="24"/>
        </w:rPr>
        <w:t>限幅，也可能产生无法实现的控制需求</w:t>
      </w:r>
      <w:r>
        <w:rPr>
          <w:rFonts w:ascii="Times New Roman" w:hAnsi="Times New Roman" w:eastAsia="宋体"/>
          <w:b w:val="0"/>
          <w:sz w:val="24"/>
          <w:highlight w:val="yellow"/>
        </w:rPr>
        <w:t>的幅值限制，实际输出仍可能偏离期望值，从而影响跟踪性能</w:t>
      </w:r>
      <w:r>
        <w:rPr>
          <w:rFonts w:ascii="Times New Roman" w:hAnsi="Times New Roman" w:eastAsia="宋体"/>
          <w:b w:val="0"/>
          <w:sz w:val="24"/>
        </w:rPr>
        <w:t>；反过来，将推进器边界直接纳入上层优化又可能增加求解维度。因此，受约束控制的发展重点之一，是</w:t>
      </w:r>
      <w:r>
        <w:rPr>
          <w:rFonts w:ascii="Times New Roman" w:hAnsi="Times New Roman" w:eastAsia="宋体"/>
          <w:b w:val="0"/>
          <w:strike/>
          <w:sz w:val="24"/>
        </w:rPr>
        <w:t>建立上层运动控制</w:t>
      </w:r>
      <w:r>
        <w:rPr>
          <w:rFonts w:ascii="Times New Roman" w:hAnsi="Times New Roman" w:eastAsia="宋体"/>
          <w:b w:val="0"/>
          <w:sz w:val="24"/>
          <w:highlight w:val="yellow"/>
        </w:rPr>
        <w:t>协调上层控制目标</w:t>
      </w:r>
      <w:r>
        <w:rPr>
          <w:rFonts w:ascii="Times New Roman" w:hAnsi="Times New Roman" w:eastAsia="宋体"/>
          <w:b w:val="0"/>
          <w:sz w:val="24"/>
        </w:rPr>
        <w:t>与下层</w:t>
      </w:r>
      <w:r>
        <w:rPr>
          <w:rFonts w:ascii="Times New Roman" w:hAnsi="Times New Roman" w:eastAsia="宋体"/>
          <w:b w:val="0"/>
          <w:strike/>
          <w:sz w:val="24"/>
        </w:rPr>
        <w:t>执行器能力之间的一致性</w:t>
      </w:r>
      <w:r>
        <w:rPr>
          <w:rFonts w:ascii="Times New Roman" w:hAnsi="Times New Roman" w:eastAsia="宋体"/>
          <w:b w:val="0"/>
          <w:sz w:val="24"/>
          <w:highlight w:val="yellow"/>
        </w:rPr>
        <w:t>推力可行域</w:t>
      </w:r>
      <w:r>
        <w:rPr>
          <w:rFonts w:ascii="Times New Roman" w:hAnsi="Times New Roman" w:eastAsia="宋体"/>
          <w:b w:val="0"/>
          <w:sz w:val="24"/>
        </w:rPr>
        <w:t>，并在跟踪精度、推力使用和求解时间之间作出可</w:t>
      </w:r>
      <w:r>
        <w:rPr>
          <w:rFonts w:ascii="Times New Roman" w:hAnsi="Times New Roman" w:eastAsia="宋体"/>
          <w:b w:val="0"/>
          <w:strike/>
          <w:sz w:val="24"/>
        </w:rPr>
        <w:t>验证</w:t>
      </w:r>
      <w:r>
        <w:rPr>
          <w:rFonts w:ascii="Times New Roman" w:hAnsi="Times New Roman" w:eastAsia="宋体"/>
          <w:b w:val="0"/>
          <w:sz w:val="24"/>
          <w:highlight w:val="yellow"/>
        </w:rPr>
        <w:t>检验</w:t>
      </w:r>
      <w:r>
        <w:rPr>
          <w:rFonts w:ascii="Times New Roman" w:hAnsi="Times New Roman" w:eastAsia="宋体"/>
          <w:b w:val="0"/>
          <w:sz w:val="24"/>
        </w:rPr>
        <w:t>的权衡。</w:t>
      </w:r>
    </w:p>
    <w:p>
      <w:pPr>
        <w:pStyle w:val="a7"/>
        <w:spacing w:line="360" w:lineRule="auto" w:beforeLines="50" w:before="120" w:afterLines="50" w:after="120"/>
        <w:ind w:firstLineChars="200" w:firstLine="0" w:left="0"/>
      </w:pPr>
      <w:r>
        <w:rPr>
          <w:rFonts w:ascii="Times New Roman" w:hAnsi="Times New Roman" w:eastAsia="黑体"/>
          <w:b/>
          <w:sz w:val="24"/>
        </w:rPr>
        <w:t>2.3 PX4</w:t>
      </w:r>
      <w:r>
        <w:rPr>
          <w:rFonts w:ascii="Times New Roman" w:hAnsi="Times New Roman" w:eastAsia="黑体"/>
          <w:b/>
          <w:sz w:val="24"/>
          <w:highlight w:val="yellow"/>
        </w:rPr>
        <w:t xml:space="preserve"> </w:t>
      </w:r>
      <w:r>
        <w:rPr>
          <w:rFonts w:ascii="Times New Roman" w:hAnsi="Times New Roman" w:eastAsia="黑体"/>
          <w:b/>
          <w:sz w:val="24"/>
        </w:rPr>
        <w:t>开源飞控平台适配与闭环仿真验证研究现状</w:t>
      </w:r>
    </w:p>
    <w:p>
      <w:pPr>
        <w:pStyle w:val="a7"/>
        <w:spacing w:line="360" w:lineRule="auto" w:beforeLines="0" w:before="120" w:afterLines="0" w:after="120"/>
        <w:ind w:firstLineChars="200" w:firstLine="482" w:left="0"/>
      </w:pPr>
      <w:r>
        <w:rPr>
          <w:rFonts w:ascii="Times New Roman" w:hAnsi="Times New Roman" w:eastAsia="宋体"/>
          <w:b w:val="0"/>
          <w:sz w:val="24"/>
        </w:rPr>
        <w:t>控制算法从数值模型走向可复现的工程验证，需要明确软件中的状态输入、控制输出、执行器映射和闭环运行周期。对</w:t>
      </w:r>
      <w:r>
        <w:rPr>
          <w:rFonts w:ascii="Times New Roman" w:hAnsi="Times New Roman" w:eastAsia="宋体"/>
          <w:b w:val="0"/>
          <w:sz w:val="24"/>
          <w:highlight w:val="yellow"/>
        </w:rPr>
        <w:t>于</w:t>
      </w:r>
      <w:r>
        <w:rPr>
          <w:rFonts w:ascii="Times New Roman" w:hAnsi="Times New Roman" w:eastAsia="宋体"/>
          <w:b w:val="0"/>
          <w:sz w:val="24"/>
        </w:rPr>
        <w:t>基于PX4的水下航行器</w:t>
      </w:r>
      <w:r>
        <w:rPr>
          <w:rFonts w:ascii="Times New Roman" w:hAnsi="Times New Roman" w:eastAsia="宋体"/>
          <w:b w:val="0"/>
          <w:strike/>
          <w:sz w:val="24"/>
        </w:rPr>
        <w:t>而言，平台本身的水下支持程度</w:t>
      </w:r>
      <w:r>
        <w:rPr>
          <w:rFonts w:ascii="Times New Roman" w:hAnsi="Times New Roman" w:eastAsia="宋体"/>
          <w:b w:val="0"/>
          <w:sz w:val="24"/>
          <w:highlight w:val="yellow"/>
        </w:rPr>
        <w:t>，需要进一步区分平台公开支持的功能、研究型控制器可使用的接口</w:t>
      </w:r>
      <w:r>
        <w:rPr>
          <w:rFonts w:ascii="Times New Roman" w:hAnsi="Times New Roman" w:eastAsia="宋体"/>
          <w:b w:val="0"/>
          <w:sz w:val="24"/>
        </w:rPr>
        <w:t>，以及</w:t>
      </w:r>
      <w:r>
        <w:rPr>
          <w:rFonts w:ascii="Times New Roman" w:hAnsi="Times New Roman" w:eastAsia="宋体"/>
          <w:b w:val="0"/>
          <w:strike/>
          <w:sz w:val="24"/>
        </w:rPr>
        <w:t>仿真</w:t>
      </w:r>
      <w:r>
        <w:rPr>
          <w:rFonts w:ascii="Times New Roman" w:hAnsi="Times New Roman" w:eastAsia="宋体"/>
          <w:b w:val="0"/>
          <w:sz w:val="24"/>
          <w:highlight w:val="yellow"/>
        </w:rPr>
        <w:t>具体水下</w:t>
      </w:r>
      <w:r>
        <w:rPr>
          <w:rFonts w:ascii="Times New Roman" w:hAnsi="Times New Roman" w:eastAsia="宋体"/>
          <w:b w:val="0"/>
          <w:sz w:val="24"/>
        </w:rPr>
        <w:t>模型能否</w:t>
      </w:r>
      <w:r>
        <w:rPr>
          <w:rFonts w:ascii="Times New Roman" w:hAnsi="Times New Roman" w:eastAsia="宋体"/>
          <w:b w:val="0"/>
          <w:strike/>
          <w:sz w:val="24"/>
        </w:rPr>
        <w:t>与实际控制链路一致，是评价算法可行性的重要条件</w:t>
      </w:r>
      <w:r>
        <w:rPr>
          <w:rFonts w:ascii="Times New Roman" w:hAnsi="Times New Roman" w:eastAsia="宋体"/>
          <w:b w:val="0"/>
          <w:sz w:val="24"/>
          <w:highlight w:val="yellow"/>
        </w:rPr>
        <w:t>在软件在环环境中形成闭环</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PX4以模块化软件组织状态估计、控制与执行器输出等功能，Meier等[43]介绍了其面向嵌入式平台的框架。</w:t>
      </w:r>
      <w:r>
        <w:rPr>
          <w:rFonts w:ascii="Times New Roman" w:hAnsi="Times New Roman" w:eastAsia="宋体"/>
          <w:b w:val="0"/>
          <w:sz w:val="24"/>
          <w:highlight w:val="yellow"/>
        </w:rPr>
        <w:t>按照</w:t>
      </w:r>
      <w:r>
        <w:rPr>
          <w:rFonts w:ascii="Times New Roman" w:hAnsi="Times New Roman" w:eastAsia="宋体"/>
          <w:b w:val="0"/>
          <w:sz w:val="24"/>
        </w:rPr>
        <w:t>PX4</w:t>
      </w:r>
      <w:r>
        <w:rPr>
          <w:rFonts w:ascii="Times New Roman" w:hAnsi="Times New Roman" w:eastAsia="宋体"/>
          <w:b w:val="0"/>
          <w:strike/>
          <w:sz w:val="24"/>
        </w:rPr>
        <w:t>使用</w:t>
      </w:r>
      <w:r>
        <w:rPr>
          <w:rFonts w:ascii="Times New Roman" w:hAnsi="Times New Roman" w:eastAsia="宋体"/>
          <w:b w:val="0"/>
          <w:sz w:val="24"/>
          <w:highlight w:val="yellow"/>
        </w:rPr>
        <w:t>公开架构，模块可通过</w:t>
      </w:r>
      <w:r>
        <w:rPr>
          <w:rFonts w:ascii="Times New Roman" w:hAnsi="Times New Roman" w:eastAsia="宋体"/>
          <w:b w:val="0"/>
          <w:sz w:val="24"/>
        </w:rPr>
        <w:t>uORB</w:t>
      </w:r>
      <w:r>
        <w:rPr>
          <w:rFonts w:ascii="Times New Roman" w:hAnsi="Times New Roman" w:eastAsia="宋体"/>
          <w:b w:val="0"/>
          <w:strike/>
          <w:sz w:val="24"/>
        </w:rPr>
        <w:t>完成模块间消息交互，并通过</w:t>
      </w:r>
      <w:r>
        <w:rPr>
          <w:rFonts w:ascii="Times New Roman" w:hAnsi="Times New Roman" w:eastAsia="宋体"/>
          <w:b w:val="0"/>
          <w:sz w:val="24"/>
          <w:highlight w:val="yellow"/>
        </w:rPr>
        <w:t>交换消息，并由</w:t>
      </w:r>
      <w:r>
        <w:rPr>
          <w:rFonts w:ascii="Times New Roman" w:hAnsi="Times New Roman" w:eastAsia="宋体"/>
          <w:b w:val="0"/>
          <w:sz w:val="24"/>
        </w:rPr>
        <w:t>Control Allocator</w:t>
      </w:r>
      <w:r>
        <w:rPr>
          <w:rFonts w:ascii="Times New Roman" w:hAnsi="Times New Roman" w:eastAsia="宋体"/>
          <w:b w:val="0"/>
          <w:sz w:val="24"/>
          <w:highlight w:val="yellow"/>
        </w:rPr>
        <w:t>依据机型分配配置</w:t>
      </w:r>
      <w:r>
        <w:rPr>
          <w:rFonts w:ascii="Times New Roman" w:hAnsi="Times New Roman" w:eastAsia="宋体"/>
          <w:b w:val="0"/>
          <w:sz w:val="24"/>
        </w:rPr>
        <w:t>将控制</w:t>
      </w:r>
      <w:r>
        <w:rPr>
          <w:rFonts w:ascii="Times New Roman" w:hAnsi="Times New Roman" w:eastAsia="宋体"/>
          <w:b w:val="0"/>
          <w:strike/>
          <w:sz w:val="24"/>
        </w:rPr>
        <w:t>器提出的推力、力矩需求映射</w:t>
      </w:r>
      <w:r>
        <w:rPr>
          <w:rFonts w:ascii="Times New Roman" w:hAnsi="Times New Roman" w:eastAsia="宋体"/>
          <w:b w:val="0"/>
          <w:sz w:val="24"/>
          <w:highlight w:val="yellow"/>
        </w:rPr>
        <w:t>需求转换</w:t>
      </w:r>
      <w:r>
        <w:rPr>
          <w:rFonts w:ascii="Times New Roman" w:hAnsi="Times New Roman" w:eastAsia="宋体"/>
          <w:b w:val="0"/>
          <w:sz w:val="24"/>
        </w:rPr>
        <w:t>为执行器</w:t>
      </w:r>
      <w:r>
        <w:rPr>
          <w:rFonts w:ascii="Times New Roman" w:hAnsi="Times New Roman" w:eastAsia="宋体"/>
          <w:b w:val="0"/>
          <w:strike/>
          <w:sz w:val="24"/>
        </w:rPr>
        <w:t>输出</w:t>
      </w:r>
      <w:r>
        <w:rPr>
          <w:rFonts w:ascii="Times New Roman" w:hAnsi="Times New Roman" w:eastAsia="宋体"/>
          <w:b w:val="0"/>
          <w:sz w:val="24"/>
          <w:highlight w:val="yellow"/>
        </w:rPr>
        <w:t>指令</w:t>
      </w:r>
      <w:r>
        <w:rPr>
          <w:rFonts w:ascii="Times New Roman" w:hAnsi="Times New Roman" w:eastAsia="宋体"/>
          <w:b w:val="0"/>
          <w:sz w:val="24"/>
        </w:rPr>
        <w:t>[46]。这一架构为替换或接入研究型控制器提供了接口基础，但通用的控制分配机制并不等同于已经完成面向特定八推进器构型的受约束优化分配；推进器几何</w:t>
      </w:r>
      <w:r>
        <w:rPr>
          <w:rFonts w:ascii="Times New Roman" w:hAnsi="Times New Roman" w:eastAsia="宋体"/>
          <w:b w:val="0"/>
          <w:strike/>
          <w:sz w:val="24"/>
        </w:rPr>
        <w:t>配置</w:t>
      </w:r>
      <w:r>
        <w:rPr>
          <w:rFonts w:ascii="Times New Roman" w:hAnsi="Times New Roman" w:eastAsia="宋体"/>
          <w:b w:val="0"/>
          <w:sz w:val="24"/>
          <w:highlight w:val="yellow"/>
        </w:rPr>
        <w:t>参数、分配算法</w:t>
      </w:r>
      <w:r>
        <w:rPr>
          <w:rFonts w:ascii="Times New Roman" w:hAnsi="Times New Roman" w:eastAsia="宋体"/>
          <w:b w:val="0"/>
          <w:sz w:val="24"/>
        </w:rPr>
        <w:t>、控制接口及指令限幅仍需</w:t>
      </w:r>
      <w:r>
        <w:rPr>
          <w:rFonts w:ascii="Times New Roman" w:hAnsi="Times New Roman" w:eastAsia="宋体"/>
          <w:b w:val="0"/>
          <w:strike/>
          <w:sz w:val="24"/>
        </w:rPr>
        <w:t>要结合具体机型</w:t>
      </w:r>
      <w:r>
        <w:rPr>
          <w:rFonts w:ascii="Times New Roman" w:hAnsi="Times New Roman" w:eastAsia="宋体"/>
          <w:b w:val="0"/>
          <w:sz w:val="24"/>
          <w:highlight w:val="yellow"/>
        </w:rPr>
        <w:t>按目标机型与固件版本</w:t>
      </w:r>
      <w:r>
        <w:rPr>
          <w:rFonts w:ascii="Times New Roman" w:hAnsi="Times New Roman" w:eastAsia="宋体"/>
          <w:b w:val="0"/>
          <w:sz w:val="24"/>
        </w:rPr>
        <w:t>核实。</w:t>
      </w:r>
    </w:p>
    <w:p>
      <w:pPr>
        <w:pStyle w:val="a7"/>
        <w:spacing w:line="360" w:lineRule="auto" w:beforeLines="0" w:before="120" w:afterLines="0" w:after="120"/>
        <w:ind w:firstLineChars="200" w:firstLine="482" w:left="0"/>
      </w:pPr>
      <w:r>
        <w:rPr>
          <w:rFonts w:ascii="Times New Roman" w:hAnsi="Times New Roman" w:eastAsia="宋体"/>
          <w:b w:val="0"/>
          <w:sz w:val="24"/>
        </w:rPr>
        <w:t>在水下支持方面，PX4官方文档仍将UUV功能标注为实验性</w:t>
      </w:r>
      <w:r>
        <w:rPr>
          <w:rFonts w:ascii="Times New Roman" w:hAnsi="Times New Roman" w:eastAsia="宋体"/>
          <w:b w:val="0"/>
          <w:strike/>
          <w:sz w:val="24"/>
        </w:rPr>
        <w:t>，并列出了已支持的水下构型和控制模式</w:t>
      </w:r>
      <w:r>
        <w:rPr>
          <w:rFonts w:ascii="Times New Roman" w:hAnsi="Times New Roman" w:eastAsia="宋体"/>
          <w:b w:val="0"/>
          <w:sz w:val="24"/>
        </w:rPr>
        <w:t>[4]。</w:t>
      </w:r>
      <w:r>
        <w:rPr>
          <w:rFonts w:ascii="Times New Roman" w:hAnsi="Times New Roman" w:eastAsia="宋体"/>
          <w:b w:val="0"/>
          <w:strike/>
          <w:sz w:val="24"/>
        </w:rPr>
        <w:t>其中，</w:t>
      </w:r>
      <w:r>
        <w:rPr>
          <w:rFonts w:ascii="Times New Roman" w:hAnsi="Times New Roman" w:eastAsia="宋体"/>
          <w:b w:val="0"/>
          <w:sz w:val="24"/>
        </w:rPr>
        <w:t>BlueROV2 Heavy</w:t>
      </w:r>
      <w:r>
        <w:rPr>
          <w:rFonts w:ascii="Times New Roman" w:hAnsi="Times New Roman" w:eastAsia="宋体"/>
          <w:b w:val="0"/>
          <w:sz w:val="24"/>
          <w:highlight w:val="yellow"/>
        </w:rPr>
        <w:t>文档列出了Manual、Stabilized、Acro、Altitude和Position等模式[47]；其中位置保持主要涉及平移与艏向控制，横滚和俯仰以姿态稳定为主。因此，“支持</w:t>
      </w:r>
      <w:r>
        <w:rPr>
          <w:rFonts w:ascii="Times New Roman" w:hAnsi="Times New Roman" w:eastAsia="宋体"/>
          <w:b w:val="0"/>
          <w:sz w:val="24"/>
        </w:rPr>
        <w:t>八推进器</w:t>
      </w:r>
      <w:r>
        <w:rPr>
          <w:rFonts w:ascii="Times New Roman" w:hAnsi="Times New Roman" w:eastAsia="宋体"/>
          <w:b w:val="0"/>
          <w:strike/>
          <w:sz w:val="24"/>
        </w:rPr>
        <w:t>构型已有手动、稳定及部分位置相关控制模式的官方说明[47]，因此不能简单认定PX4水下控制仅能沿用空中多旋翼的全部串级PID流程。与此同时，现有模式的支持范围也不能直接等同于能够运行面向</w:t>
      </w:r>
      <w:r>
        <w:rPr>
          <w:rFonts w:ascii="Times New Roman" w:hAnsi="Times New Roman" w:eastAsia="宋体"/>
          <w:b w:val="0"/>
          <w:sz w:val="24"/>
          <w:highlight w:val="yellow"/>
        </w:rPr>
        <w:t>机型”并不等于“已具备任意</w:t>
      </w:r>
      <w:r>
        <w:rPr>
          <w:rFonts w:ascii="Times New Roman" w:hAnsi="Times New Roman" w:eastAsia="宋体"/>
          <w:b w:val="0"/>
          <w:sz w:val="24"/>
        </w:rPr>
        <w:t>六自由度</w:t>
      </w:r>
      <w:r>
        <w:rPr>
          <w:rFonts w:ascii="Times New Roman" w:hAnsi="Times New Roman" w:eastAsia="宋体"/>
          <w:b w:val="0"/>
          <w:sz w:val="24"/>
          <w:highlight w:val="yellow"/>
        </w:rPr>
        <w:t>位姿轨迹的</w:t>
      </w:r>
      <w:r>
        <w:rPr>
          <w:rFonts w:ascii="Times New Roman" w:hAnsi="Times New Roman" w:eastAsia="宋体"/>
          <w:b w:val="0"/>
          <w:sz w:val="24"/>
        </w:rPr>
        <w:t>受约束</w:t>
      </w:r>
      <w:r>
        <w:rPr>
          <w:rFonts w:ascii="Times New Roman" w:hAnsi="Times New Roman" w:eastAsia="宋体"/>
          <w:b w:val="0"/>
          <w:strike/>
          <w:sz w:val="24"/>
        </w:rPr>
        <w:t>控制的</w:t>
      </w:r>
      <w:r>
        <w:rPr>
          <w:rFonts w:ascii="Times New Roman" w:hAnsi="Times New Roman" w:eastAsia="宋体"/>
          <w:b w:val="0"/>
          <w:sz w:val="24"/>
        </w:rPr>
        <w:t>MPC</w:t>
      </w:r>
      <w:r>
        <w:rPr>
          <w:rFonts w:ascii="Times New Roman" w:hAnsi="Times New Roman" w:eastAsia="宋体"/>
          <w:b w:val="0"/>
          <w:strike/>
          <w:sz w:val="24"/>
        </w:rPr>
        <w:t>。</w:t>
      </w:r>
      <w:r>
        <w:rPr>
          <w:rFonts w:ascii="Times New Roman" w:hAnsi="Times New Roman" w:eastAsia="宋体"/>
          <w:b w:val="0"/>
          <w:sz w:val="24"/>
          <w:highlight w:val="yellow"/>
        </w:rPr>
        <w:t>控制”。另一方面，</w:t>
      </w:r>
      <w:r>
        <w:rPr>
          <w:rFonts w:ascii="Times New Roman" w:hAnsi="Times New Roman" w:eastAsia="宋体"/>
          <w:b w:val="0"/>
          <w:sz w:val="24"/>
        </w:rPr>
        <w:t>PX4提供</w:t>
      </w:r>
      <w:r>
        <w:rPr>
          <w:rFonts w:ascii="Times New Roman" w:hAnsi="Times New Roman" w:eastAsia="宋体"/>
          <w:b w:val="0"/>
          <w:sz w:val="24"/>
          <w:highlight w:val="yellow"/>
        </w:rPr>
        <w:t>Offboard</w:t>
      </w:r>
      <w:r>
        <w:rPr>
          <w:rFonts w:ascii="Times New Roman" w:hAnsi="Times New Roman" w:eastAsia="宋体"/>
          <w:b w:val="0"/>
          <w:sz w:val="24"/>
        </w:rPr>
        <w:t>外部控制接口，但可用的设定值类型、</w:t>
      </w:r>
      <w:r>
        <w:rPr>
          <w:rFonts w:ascii="Times New Roman" w:hAnsi="Times New Roman" w:eastAsia="宋体"/>
          <w:b w:val="0"/>
          <w:strike/>
          <w:sz w:val="24"/>
        </w:rPr>
        <w:t>控制权限以及失联保护机制需要按</w:t>
      </w:r>
      <w:r>
        <w:rPr>
          <w:rFonts w:ascii="Times New Roman" w:hAnsi="Times New Roman" w:eastAsia="宋体"/>
          <w:b w:val="0"/>
          <w:sz w:val="24"/>
          <w:highlight w:val="yellow"/>
        </w:rPr>
        <w:t>状态估计前提、通信保活和失联处理等要求，需根据</w:t>
      </w:r>
      <w:r>
        <w:rPr>
          <w:rFonts w:ascii="Times New Roman" w:hAnsi="Times New Roman" w:eastAsia="宋体"/>
          <w:b w:val="0"/>
          <w:sz w:val="24"/>
        </w:rPr>
        <w:t>目标机型</w:t>
      </w:r>
      <w:r>
        <w:rPr>
          <w:rFonts w:ascii="Times New Roman" w:hAnsi="Times New Roman" w:eastAsia="宋体"/>
          <w:b w:val="0"/>
          <w:strike/>
          <w:sz w:val="24"/>
        </w:rPr>
        <w:t>和</w:t>
      </w:r>
      <w:r>
        <w:rPr>
          <w:rFonts w:ascii="Times New Roman" w:hAnsi="Times New Roman" w:eastAsia="宋体"/>
          <w:b w:val="0"/>
          <w:sz w:val="24"/>
          <w:highlight w:val="yellow"/>
        </w:rPr>
        <w:t>及固件</w:t>
      </w:r>
      <w:r>
        <w:rPr>
          <w:rFonts w:ascii="Times New Roman" w:hAnsi="Times New Roman" w:eastAsia="宋体"/>
          <w:b w:val="0"/>
          <w:sz w:val="24"/>
        </w:rPr>
        <w:t>版本确认[48]。这</w:t>
      </w:r>
      <w:r>
        <w:rPr>
          <w:rFonts w:ascii="Times New Roman" w:hAnsi="Times New Roman" w:eastAsia="宋体"/>
          <w:b w:val="0"/>
          <w:strike/>
          <w:sz w:val="24"/>
        </w:rPr>
        <w:t>一现状表明，本课题更需要明确</w:t>
      </w:r>
      <w:r>
        <w:rPr>
          <w:rFonts w:ascii="Times New Roman" w:hAnsi="Times New Roman" w:eastAsia="宋体"/>
          <w:b w:val="0"/>
          <w:sz w:val="24"/>
          <w:highlight w:val="yellow"/>
        </w:rPr>
        <w:t>意味着研究型</w:t>
      </w:r>
      <w:r>
        <w:rPr>
          <w:rFonts w:ascii="Times New Roman" w:hAnsi="Times New Roman" w:eastAsia="宋体"/>
          <w:b w:val="0"/>
          <w:sz w:val="24"/>
        </w:rPr>
        <w:t>控制器</w:t>
      </w:r>
      <w:r>
        <w:rPr>
          <w:rFonts w:ascii="Times New Roman" w:hAnsi="Times New Roman" w:eastAsia="宋体"/>
          <w:b w:val="0"/>
          <w:strike/>
          <w:sz w:val="24"/>
        </w:rPr>
        <w:t>在PX4链路中</w:t>
      </w:r>
      <w:r>
        <w:rPr>
          <w:rFonts w:ascii="Times New Roman" w:hAnsi="Times New Roman" w:eastAsia="宋体"/>
          <w:b w:val="0"/>
          <w:sz w:val="24"/>
        </w:rPr>
        <w:t>的接入层级及其与分配模块的关系</w:t>
      </w:r>
      <w:r>
        <w:rPr>
          <w:rFonts w:ascii="Times New Roman" w:hAnsi="Times New Roman" w:eastAsia="宋体"/>
          <w:b w:val="0"/>
          <w:sz w:val="24"/>
          <w:highlight w:val="yellow"/>
        </w:rPr>
        <w:t>，不能仅凭平台通用接口推断</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在闭环验证方面，von Benzon等[45]发布了基于MATLAB/Simulink的BlueROV2开源基准模型，纳入水动力、推进器、浮重力、水流及系缆等因素，并对部分模型进行了试验校验，为控制算法的可复现比较提供了参考。需要区分的是，该</w:t>
      </w:r>
      <w:r>
        <w:rPr>
          <w:rFonts w:ascii="Times New Roman" w:hAnsi="Times New Roman" w:eastAsia="宋体"/>
          <w:b w:val="0"/>
          <w:strike/>
          <w:sz w:val="24"/>
        </w:rPr>
        <w:t>Simulink模型并不是</w:t>
      </w:r>
      <w:r>
        <w:rPr>
          <w:rFonts w:ascii="Times New Roman" w:hAnsi="Times New Roman" w:eastAsia="宋体"/>
          <w:b w:val="0"/>
          <w:sz w:val="24"/>
          <w:highlight w:val="yellow"/>
        </w:rPr>
        <w:t>成果证明了水下模型可用于仿真比较，却不能单独证明其已与</w:t>
      </w:r>
      <w:r>
        <w:rPr>
          <w:rFonts w:ascii="Times New Roman" w:hAnsi="Times New Roman" w:eastAsia="宋体"/>
          <w:b w:val="0"/>
          <w:sz w:val="24"/>
        </w:rPr>
        <w:t>PX4</w:t>
      </w:r>
      <w:r>
        <w:rPr>
          <w:rFonts w:ascii="Times New Roman" w:hAnsi="Times New Roman" w:eastAsia="宋体"/>
          <w:b w:val="0"/>
          <w:strike/>
          <w:sz w:val="24"/>
        </w:rPr>
        <w:t>与</w:t>
      </w:r>
      <w:r>
        <w:rPr>
          <w:rFonts w:ascii="Times New Roman" w:hAnsi="Times New Roman" w:eastAsia="宋体"/>
          <w:b w:val="0"/>
          <w:sz w:val="24"/>
          <w:highlight w:val="yellow"/>
        </w:rPr>
        <w:t>或</w:t>
      </w:r>
      <w:r>
        <w:rPr>
          <w:rFonts w:ascii="Times New Roman" w:hAnsi="Times New Roman" w:eastAsia="宋体"/>
          <w:b w:val="0"/>
          <w:sz w:val="24"/>
        </w:rPr>
        <w:t>Gazebo</w:t>
      </w:r>
      <w:r>
        <w:rPr>
          <w:rFonts w:ascii="Times New Roman" w:hAnsi="Times New Roman" w:eastAsia="宋体"/>
          <w:b w:val="0"/>
          <w:strike/>
          <w:sz w:val="24"/>
        </w:rPr>
        <w:t>已经完成耦合的证明。PX4</w:t>
      </w:r>
      <w:r>
        <w:rPr>
          <w:rFonts w:ascii="Times New Roman" w:hAnsi="Times New Roman" w:eastAsia="宋体"/>
          <w:b w:val="0"/>
          <w:sz w:val="24"/>
          <w:highlight w:val="yellow"/>
        </w:rPr>
        <w:t>完成接口耦合。对于本课题，</w:t>
      </w:r>
      <w:r>
        <w:rPr>
          <w:rFonts w:ascii="Times New Roman" w:hAnsi="Times New Roman" w:eastAsia="宋体"/>
          <w:b w:val="0"/>
          <w:sz w:val="24"/>
        </w:rPr>
        <w:t>软件在环（SITL）</w:t>
      </w:r>
      <w:r>
        <w:rPr>
          <w:rFonts w:ascii="Times New Roman" w:hAnsi="Times New Roman" w:eastAsia="宋体"/>
          <w:b w:val="0"/>
          <w:strike/>
          <w:sz w:val="24"/>
        </w:rPr>
        <w:t>可用于检查控制程序与仿真对象</w:t>
      </w:r>
      <w:r>
        <w:rPr>
          <w:rFonts w:ascii="Times New Roman" w:hAnsi="Times New Roman" w:eastAsia="宋体"/>
          <w:b w:val="0"/>
          <w:sz w:val="24"/>
          <w:highlight w:val="yellow"/>
        </w:rPr>
        <w:t>验证不仅是运行仿真，还需检查动力学模型、控制器、分配模块与执行器指令能否形成时间一致</w:t>
      </w:r>
      <w:r>
        <w:rPr>
          <w:rFonts w:ascii="Times New Roman" w:hAnsi="Times New Roman" w:eastAsia="宋体"/>
          <w:b w:val="0"/>
          <w:sz w:val="24"/>
        </w:rPr>
        <w:t>的闭环</w:t>
      </w:r>
      <w:r>
        <w:rPr>
          <w:rFonts w:ascii="Times New Roman" w:hAnsi="Times New Roman" w:eastAsia="宋体"/>
          <w:b w:val="0"/>
          <w:strike/>
          <w:sz w:val="24"/>
        </w:rPr>
        <w:t>交互；若面向水下航行器开展验证，仍需按所选仿真环境配置</w:t>
      </w:r>
      <w:r>
        <w:rPr>
          <w:rFonts w:ascii="Times New Roman" w:hAnsi="Times New Roman" w:eastAsia="宋体"/>
          <w:b w:val="0"/>
          <w:sz w:val="24"/>
          <w:highlight w:val="yellow"/>
        </w:rPr>
        <w:t>；</w:t>
      </w:r>
      <w:r>
        <w:rPr>
          <w:rFonts w:ascii="Times New Roman" w:hAnsi="Times New Roman" w:eastAsia="宋体"/>
          <w:b w:val="0"/>
          <w:sz w:val="24"/>
        </w:rPr>
        <w:t>水动力、推进器、传感器</w:t>
      </w:r>
      <w:r>
        <w:rPr>
          <w:rFonts w:ascii="Times New Roman" w:hAnsi="Times New Roman" w:eastAsia="宋体"/>
          <w:b w:val="0"/>
          <w:strike/>
          <w:sz w:val="24"/>
        </w:rPr>
        <w:t>及</w:t>
      </w:r>
      <w:r>
        <w:rPr>
          <w:rFonts w:ascii="Times New Roman" w:hAnsi="Times New Roman" w:eastAsia="宋体"/>
          <w:b w:val="0"/>
          <w:sz w:val="24"/>
          <w:highlight w:val="yellow"/>
        </w:rPr>
        <w:t>和</w:t>
      </w:r>
      <w:r>
        <w:rPr>
          <w:rFonts w:ascii="Times New Roman" w:hAnsi="Times New Roman" w:eastAsia="宋体"/>
          <w:b w:val="0"/>
          <w:sz w:val="24"/>
        </w:rPr>
        <w:t>通信接口</w:t>
      </w:r>
      <w:r>
        <w:rPr>
          <w:rFonts w:ascii="Times New Roman" w:hAnsi="Times New Roman" w:eastAsia="宋体"/>
          <w:b w:val="0"/>
          <w:strike/>
          <w:sz w:val="24"/>
        </w:rPr>
        <w:t>，并检验控制链路的时间一致性和推力约束处理</w:t>
      </w:r>
      <w:r>
        <w:rPr>
          <w:rFonts w:ascii="Times New Roman" w:hAnsi="Times New Roman" w:eastAsia="宋体"/>
          <w:b w:val="0"/>
          <w:sz w:val="24"/>
          <w:highlight w:val="yellow"/>
        </w:rPr>
        <w:t>应随所选环境逐项配置与核验</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总体而言，开源飞控和水下动力学仿真工具已降低控制算法开发门槛，但“动力学模型可仿真”“优化控制器可运行”与“控制器在PX4水下机型上稳定闭环”是不同层次的验证。</w:t>
      </w:r>
      <w:r>
        <w:rPr>
          <w:rFonts w:ascii="Times New Roman" w:hAnsi="Times New Roman" w:eastAsia="宋体"/>
          <w:b w:val="0"/>
          <w:strike/>
          <w:sz w:val="24"/>
        </w:rPr>
        <w:t>现阶段更有价值的趋势，是在统一工况与评价指标下</w:t>
      </w:r>
      <w:r>
        <w:rPr>
          <w:rFonts w:ascii="Times New Roman" w:hAnsi="Times New Roman" w:eastAsia="宋体"/>
          <w:b w:val="0"/>
          <w:sz w:val="24"/>
          <w:highlight w:val="yellow"/>
        </w:rPr>
        <w:t>因此，在可复现的相同工况下同时</w:t>
      </w:r>
      <w:r>
        <w:rPr>
          <w:rFonts w:ascii="Times New Roman" w:hAnsi="Times New Roman" w:eastAsia="宋体"/>
          <w:b w:val="0"/>
          <w:sz w:val="24"/>
        </w:rPr>
        <w:t>考察控制精度、推力可行性</w:t>
      </w:r>
      <w:r>
        <w:rPr>
          <w:rFonts w:ascii="Times New Roman" w:hAnsi="Times New Roman" w:eastAsia="宋体"/>
          <w:b w:val="0"/>
          <w:strike/>
          <w:sz w:val="24"/>
        </w:rPr>
        <w:t>及算法</w:t>
      </w:r>
      <w:r>
        <w:rPr>
          <w:rFonts w:ascii="Times New Roman" w:hAnsi="Times New Roman" w:eastAsia="宋体"/>
          <w:b w:val="0"/>
          <w:sz w:val="24"/>
          <w:highlight w:val="yellow"/>
        </w:rPr>
        <w:t>与</w:t>
      </w:r>
      <w:r>
        <w:rPr>
          <w:rFonts w:ascii="Times New Roman" w:hAnsi="Times New Roman" w:eastAsia="宋体"/>
          <w:b w:val="0"/>
          <w:sz w:val="24"/>
        </w:rPr>
        <w:t>执行时间，</w:t>
      </w:r>
      <w:r>
        <w:rPr>
          <w:rFonts w:ascii="Times New Roman" w:hAnsi="Times New Roman" w:eastAsia="宋体"/>
          <w:b w:val="0"/>
          <w:strike/>
          <w:sz w:val="24"/>
        </w:rPr>
        <w:t>而不是仅凭理想连续时间仿真认定</w:t>
      </w:r>
      <w:r>
        <w:rPr>
          <w:rFonts w:ascii="Times New Roman" w:hAnsi="Times New Roman" w:eastAsia="宋体"/>
          <w:b w:val="0"/>
          <w:sz w:val="24"/>
          <w:highlight w:val="yellow"/>
        </w:rPr>
        <w:t>比仅依据理想数值仿真判断</w:t>
      </w:r>
      <w:r>
        <w:rPr>
          <w:rFonts w:ascii="Times New Roman" w:hAnsi="Times New Roman" w:eastAsia="宋体"/>
          <w:b w:val="0"/>
          <w:sz w:val="24"/>
        </w:rPr>
        <w:t>工程适用性</w:t>
      </w:r>
      <w:r>
        <w:rPr>
          <w:rFonts w:ascii="Times New Roman" w:hAnsi="Times New Roman" w:eastAsia="宋体"/>
          <w:b w:val="0"/>
          <w:sz w:val="24"/>
          <w:highlight w:val="yellow"/>
        </w:rPr>
        <w:t>更有说服力</w:t>
      </w:r>
      <w:r>
        <w:rPr>
          <w:rFonts w:ascii="Times New Roman" w:hAnsi="Times New Roman" w:eastAsia="宋体"/>
          <w:b w:val="0"/>
          <w:sz w:val="24"/>
        </w:rPr>
        <w:t>。</w:t>
      </w:r>
    </w:p>
    <w:p>
      <w:pPr>
        <w:pStyle w:val="a7"/>
        <w:spacing w:line="360" w:lineRule="auto" w:beforeLines="50" w:before="120" w:afterLines="50" w:after="120"/>
        <w:ind w:firstLineChars="200" w:firstLine="0" w:left="0"/>
      </w:pPr>
      <w:r>
        <w:rPr>
          <w:rFonts w:ascii="Times New Roman" w:hAnsi="Times New Roman" w:eastAsia="黑体"/>
          <w:b/>
          <w:sz w:val="24"/>
        </w:rPr>
        <w:t>2.4 研究趋势评述与本课题的问题定位</w:t>
      </w:r>
    </w:p>
    <w:p>
      <w:pPr>
        <w:pStyle w:val="a7"/>
        <w:spacing w:line="360" w:lineRule="auto" w:beforeLines="0" w:before="120" w:afterLines="0" w:after="120"/>
        <w:ind w:firstLineChars="200" w:firstLine="482" w:left="0"/>
      </w:pPr>
      <w:r>
        <w:rPr>
          <w:rFonts w:ascii="Times New Roman" w:hAnsi="Times New Roman" w:eastAsia="宋体"/>
          <w:b w:val="0"/>
          <w:sz w:val="24"/>
        </w:rPr>
        <w:t>综合上述</w:t>
      </w:r>
      <w:r>
        <w:rPr>
          <w:rFonts w:ascii="Times New Roman" w:hAnsi="Times New Roman" w:eastAsia="宋体"/>
          <w:b w:val="0"/>
          <w:strike/>
          <w:sz w:val="24"/>
        </w:rPr>
        <w:t>研究，水下航行器控制技术呈现三项相互关联的趋势</w:t>
      </w:r>
      <w:r>
        <w:rPr>
          <w:rFonts w:ascii="Times New Roman" w:hAnsi="Times New Roman" w:eastAsia="宋体"/>
          <w:b w:val="0"/>
          <w:sz w:val="24"/>
          <w:highlight w:val="yellow"/>
        </w:rPr>
        <w:t>成果，可归纳出与本课题相关的三个取向</w:t>
      </w:r>
      <w:r>
        <w:rPr>
          <w:rFonts w:ascii="Times New Roman" w:hAnsi="Times New Roman" w:eastAsia="宋体"/>
          <w:b w:val="0"/>
          <w:sz w:val="24"/>
        </w:rPr>
        <w:t>：动力学建模</w:t>
      </w:r>
      <w:r>
        <w:rPr>
          <w:rFonts w:ascii="Times New Roman" w:hAnsi="Times New Roman" w:eastAsia="宋体"/>
          <w:b w:val="0"/>
          <w:strike/>
          <w:sz w:val="24"/>
        </w:rPr>
        <w:t>强调面向控制的精度与</w:t>
      </w:r>
      <w:r>
        <w:rPr>
          <w:rFonts w:ascii="Times New Roman" w:hAnsi="Times New Roman" w:eastAsia="宋体"/>
          <w:b w:val="0"/>
          <w:sz w:val="24"/>
          <w:highlight w:val="yellow"/>
        </w:rPr>
        <w:t>更关注预测效果与模型</w:t>
      </w:r>
      <w:r>
        <w:rPr>
          <w:rFonts w:ascii="Times New Roman" w:hAnsi="Times New Roman" w:eastAsia="宋体"/>
          <w:b w:val="0"/>
          <w:sz w:val="24"/>
        </w:rPr>
        <w:t>复杂度</w:t>
      </w:r>
      <w:r>
        <w:rPr>
          <w:rFonts w:ascii="Times New Roman" w:hAnsi="Times New Roman" w:eastAsia="宋体"/>
          <w:b w:val="0"/>
          <w:strike/>
          <w:sz w:val="24"/>
        </w:rPr>
        <w:t>平衡；运动控制由单纯误差反馈拓展为考虑推进器能力的预测与优化；算法验证从</w:t>
      </w:r>
      <w:r>
        <w:rPr>
          <w:rFonts w:ascii="Times New Roman" w:hAnsi="Times New Roman" w:eastAsia="宋体"/>
          <w:b w:val="0"/>
          <w:sz w:val="24"/>
          <w:highlight w:val="yellow"/>
        </w:rPr>
        <w:t>的权衡；在反馈控制基础上引入模型补偿、预测优化及推力约束协调；除</w:t>
      </w:r>
      <w:r>
        <w:rPr>
          <w:rFonts w:ascii="Times New Roman" w:hAnsi="Times New Roman" w:eastAsia="宋体"/>
          <w:b w:val="0"/>
          <w:sz w:val="24"/>
        </w:rPr>
        <w:t>独立数值仿真</w:t>
      </w:r>
      <w:r>
        <w:rPr>
          <w:rFonts w:ascii="Times New Roman" w:hAnsi="Times New Roman" w:eastAsia="宋体"/>
          <w:b w:val="0"/>
          <w:strike/>
          <w:sz w:val="24"/>
        </w:rPr>
        <w:t>逐步延伸至开源飞控及软件在环闭环测试</w:t>
      </w:r>
      <w:r>
        <w:rPr>
          <w:rFonts w:ascii="Times New Roman" w:hAnsi="Times New Roman" w:eastAsia="宋体"/>
          <w:b w:val="0"/>
          <w:sz w:val="24"/>
          <w:highlight w:val="yellow"/>
        </w:rPr>
        <w:t>外，进一步关注飞控系统内的闭环验证</w:t>
      </w:r>
      <w:r>
        <w:rPr>
          <w:rFonts w:ascii="Times New Roman" w:hAnsi="Times New Roman" w:eastAsia="宋体"/>
          <w:b w:val="0"/>
          <w:sz w:val="24"/>
        </w:rPr>
        <w:t>。已有成果分别提供了理论模型、约束控制方法和软件工具，但这些成果应用于具体八推进器平台时，仍需处理以下衔接问题。</w:t>
      </w:r>
    </w:p>
    <w:p>
      <w:pPr>
        <w:pStyle w:val="a7"/>
        <w:spacing w:line="360" w:lineRule="auto" w:beforeLines="0" w:before="120" w:afterLines="0" w:after="120"/>
        <w:ind w:firstLineChars="200" w:firstLine="482" w:left="0"/>
      </w:pPr>
      <w:r>
        <w:rPr>
          <w:rFonts w:ascii="Times New Roman" w:hAnsi="Times New Roman" w:eastAsia="宋体"/>
          <w:b w:val="0"/>
          <w:sz w:val="24"/>
        </w:rPr>
        <w:t>首先，在动力学模型层面，已有六自由度理论框架不能代替目标构型的水动力参数获取与适用性检验。</w:t>
      </w:r>
      <w:r>
        <w:rPr>
          <w:rFonts w:ascii="Times New Roman" w:hAnsi="Times New Roman" w:eastAsia="宋体"/>
          <w:b w:val="0"/>
          <w:strike/>
          <w:sz w:val="24"/>
        </w:rPr>
        <w:t>特别是在</w:t>
      </w:r>
      <w:r>
        <w:rPr>
          <w:rFonts w:ascii="Times New Roman" w:hAnsi="Times New Roman" w:eastAsia="宋体"/>
          <w:b w:val="0"/>
          <w:sz w:val="24"/>
          <w:highlight w:val="yellow"/>
        </w:rPr>
        <w:t>对于</w:t>
      </w:r>
      <w:r>
        <w:rPr>
          <w:rFonts w:ascii="Times New Roman" w:hAnsi="Times New Roman" w:eastAsia="宋体"/>
          <w:b w:val="0"/>
          <w:sz w:val="24"/>
        </w:rPr>
        <w:t>低速悬停和多轴联动工况</w:t>
      </w:r>
      <w:r>
        <w:rPr>
          <w:rFonts w:ascii="Times New Roman" w:hAnsi="Times New Roman" w:eastAsia="宋体"/>
          <w:b w:val="0"/>
          <w:strike/>
          <w:sz w:val="24"/>
        </w:rPr>
        <w:t>下，如何以可接受的计算开销保留影响控制精度的主要</w:t>
      </w:r>
      <w:r>
        <w:rPr>
          <w:rFonts w:ascii="Times New Roman" w:hAnsi="Times New Roman" w:eastAsia="宋体"/>
          <w:b w:val="0"/>
          <w:sz w:val="24"/>
          <w:highlight w:val="yellow"/>
        </w:rPr>
        <w:t>，哪些</w:t>
      </w:r>
      <w:r>
        <w:rPr>
          <w:rFonts w:ascii="Times New Roman" w:hAnsi="Times New Roman" w:eastAsia="宋体"/>
          <w:b w:val="0"/>
          <w:sz w:val="24"/>
        </w:rPr>
        <w:t>水动力项</w:t>
      </w:r>
      <w:r>
        <w:rPr>
          <w:rFonts w:ascii="Times New Roman" w:hAnsi="Times New Roman" w:eastAsia="宋体"/>
          <w:b w:val="0"/>
          <w:strike/>
          <w:sz w:val="24"/>
        </w:rPr>
        <w:t>，仍需要结合具体模型作出选择</w:t>
      </w:r>
      <w:r>
        <w:rPr>
          <w:rFonts w:ascii="Times New Roman" w:hAnsi="Times New Roman" w:eastAsia="宋体"/>
          <w:b w:val="0"/>
          <w:sz w:val="24"/>
          <w:highlight w:val="yellow"/>
        </w:rPr>
        <w:t>最影响预测与控制效果、需要何种参数数据及计算精度，应在目标模型上验证</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其次，在控制与执行层面，</w:t>
      </w:r>
      <w:r>
        <w:rPr>
          <w:rFonts w:ascii="Times New Roman" w:hAnsi="Times New Roman" w:eastAsia="宋体"/>
          <w:b w:val="0"/>
          <w:sz w:val="24"/>
          <w:highlight w:val="yellow"/>
        </w:rPr>
        <w:t>反馈控制及模型前馈补偿、</w:t>
      </w:r>
      <w:r>
        <w:rPr>
          <w:rFonts w:ascii="Times New Roman" w:hAnsi="Times New Roman" w:eastAsia="宋体"/>
          <w:b w:val="0"/>
          <w:sz w:val="24"/>
        </w:rPr>
        <w:t>MPC</w:t>
      </w:r>
      <w:r>
        <w:rPr>
          <w:rFonts w:ascii="Times New Roman" w:hAnsi="Times New Roman" w:eastAsia="宋体"/>
          <w:b w:val="0"/>
          <w:strike/>
          <w:sz w:val="24"/>
        </w:rPr>
        <w:t>具备显式处理约束的优势，但控制器输出的广义</w:t>
      </w:r>
      <w:r>
        <w:rPr>
          <w:rFonts w:ascii="Times New Roman" w:hAnsi="Times New Roman" w:eastAsia="宋体"/>
          <w:b w:val="0"/>
          <w:sz w:val="24"/>
          <w:highlight w:val="yellow"/>
        </w:rPr>
        <w:t>等方法各有适用条件；若采用MPC，还需明确优化问题中的输入约束如何与实际推进器能力对应。无论采用何种控制策略，上层期望</w:t>
      </w:r>
      <w:r>
        <w:rPr>
          <w:rFonts w:ascii="Times New Roman" w:hAnsi="Times New Roman" w:eastAsia="宋体"/>
          <w:b w:val="0"/>
          <w:sz w:val="24"/>
        </w:rPr>
        <w:t>合力与力矩</w:t>
      </w:r>
      <w:r>
        <w:rPr>
          <w:rFonts w:ascii="Times New Roman" w:hAnsi="Times New Roman" w:eastAsia="宋体"/>
          <w:b w:val="0"/>
          <w:strike/>
          <w:sz w:val="24"/>
        </w:rPr>
        <w:t>是否处于推进器</w:t>
      </w:r>
      <w:r>
        <w:rPr>
          <w:rFonts w:ascii="Times New Roman" w:hAnsi="Times New Roman" w:eastAsia="宋体"/>
          <w:b w:val="0"/>
          <w:sz w:val="24"/>
          <w:highlight w:val="yellow"/>
        </w:rPr>
        <w:t>都应与下层推力分配的</w:t>
      </w:r>
      <w:r>
        <w:rPr>
          <w:rFonts w:ascii="Times New Roman" w:hAnsi="Times New Roman" w:eastAsia="宋体"/>
          <w:b w:val="0"/>
          <w:sz w:val="24"/>
        </w:rPr>
        <w:t>可实现范围</w:t>
      </w:r>
      <w:r>
        <w:rPr>
          <w:rFonts w:ascii="Times New Roman" w:hAnsi="Times New Roman" w:eastAsia="宋体"/>
          <w:b w:val="0"/>
          <w:strike/>
          <w:sz w:val="24"/>
        </w:rPr>
        <w:t>内，取决于推力分配关系和约束设置。将推力可行性与多自由度跟踪需求相协调，同时控制在线</w:t>
      </w:r>
      <w:r>
        <w:rPr>
          <w:rFonts w:ascii="Times New Roman" w:hAnsi="Times New Roman" w:eastAsia="宋体"/>
          <w:b w:val="0"/>
          <w:sz w:val="24"/>
          <w:highlight w:val="yellow"/>
        </w:rPr>
        <w:t>协调。因此，多方向跟踪精度、推力使用和</w:t>
      </w:r>
      <w:r>
        <w:rPr>
          <w:rFonts w:ascii="Times New Roman" w:hAnsi="Times New Roman" w:eastAsia="宋体"/>
          <w:b w:val="0"/>
          <w:sz w:val="24"/>
        </w:rPr>
        <w:t>计算开销</w:t>
      </w:r>
      <w:r>
        <w:rPr>
          <w:rFonts w:ascii="Times New Roman" w:hAnsi="Times New Roman" w:eastAsia="宋体"/>
          <w:b w:val="0"/>
          <w:strike/>
          <w:sz w:val="24"/>
        </w:rPr>
        <w:t>，是本课题需要关注的问题</w:t>
      </w:r>
      <w:r>
        <w:rPr>
          <w:rFonts w:ascii="Times New Roman" w:hAnsi="Times New Roman" w:eastAsia="宋体"/>
          <w:b w:val="0"/>
          <w:sz w:val="24"/>
          <w:highlight w:val="yellow"/>
        </w:rPr>
        <w:t>之间的取舍，需要在相同工况下比较，而不能仅由控制算法名称判断</w:t>
      </w:r>
      <w:r>
        <w:rPr>
          <w:rFonts w:ascii="Times New Roman" w:hAnsi="Times New Roman" w:eastAsia="宋体"/>
          <w:b w:val="0"/>
          <w:sz w:val="24"/>
        </w:rPr>
        <w:t>。</w:t>
      </w:r>
    </w:p>
    <w:p>
      <w:pPr>
        <w:pStyle w:val="a7"/>
        <w:spacing w:line="360" w:lineRule="auto" w:beforeLines="0" w:before="120" w:afterLines="0" w:after="120"/>
        <w:ind w:firstLineChars="200" w:firstLine="482" w:left="0"/>
      </w:pPr>
      <w:r>
        <w:rPr>
          <w:rFonts w:ascii="Times New Roman" w:hAnsi="Times New Roman" w:eastAsia="宋体"/>
          <w:b w:val="0"/>
          <w:sz w:val="24"/>
        </w:rPr>
        <w:t>最后，在工程验证层面，PX4已有基础水下支持和控制分配模块，但</w:t>
      </w:r>
      <w:r>
        <w:rPr>
          <w:rFonts w:ascii="Times New Roman" w:hAnsi="Times New Roman" w:eastAsia="宋体"/>
          <w:b w:val="0"/>
          <w:strike/>
          <w:sz w:val="24"/>
        </w:rPr>
        <w:t>面向</w:t>
      </w:r>
      <w:r>
        <w:rPr>
          <w:rFonts w:ascii="Times New Roman" w:hAnsi="Times New Roman" w:eastAsia="宋体"/>
          <w:b w:val="0"/>
          <w:sz w:val="24"/>
          <w:highlight w:val="yellow"/>
        </w:rPr>
        <w:t>针对</w:t>
      </w:r>
      <w:r>
        <w:rPr>
          <w:rFonts w:ascii="Times New Roman" w:hAnsi="Times New Roman" w:eastAsia="宋体"/>
          <w:b w:val="0"/>
          <w:sz w:val="24"/>
        </w:rPr>
        <w:t>特定八推进器构型的</w:t>
      </w:r>
      <w:r>
        <w:rPr>
          <w:rFonts w:ascii="Times New Roman" w:hAnsi="Times New Roman" w:eastAsia="宋体"/>
          <w:b w:val="0"/>
          <w:strike/>
          <w:sz w:val="24"/>
        </w:rPr>
        <w:t>MPC</w:t>
      </w:r>
      <w:r>
        <w:rPr>
          <w:rFonts w:ascii="Times New Roman" w:hAnsi="Times New Roman" w:eastAsia="宋体"/>
          <w:b w:val="0"/>
          <w:sz w:val="24"/>
          <w:highlight w:val="yellow"/>
        </w:rPr>
        <w:t>控制器</w:t>
      </w:r>
      <w:r>
        <w:rPr>
          <w:rFonts w:ascii="Times New Roman" w:hAnsi="Times New Roman" w:eastAsia="宋体"/>
          <w:b w:val="0"/>
          <w:sz w:val="24"/>
        </w:rPr>
        <w:t>接入方式、控制权限及SITL水动力模型适配仍需</w:t>
      </w:r>
      <w:r>
        <w:rPr>
          <w:rFonts w:ascii="Times New Roman" w:hAnsi="Times New Roman" w:eastAsia="宋体"/>
          <w:b w:val="0"/>
          <w:strike/>
          <w:sz w:val="24"/>
        </w:rPr>
        <w:t>具体确认</w:t>
      </w:r>
      <w:r>
        <w:rPr>
          <w:rFonts w:ascii="Times New Roman" w:hAnsi="Times New Roman" w:eastAsia="宋体"/>
          <w:b w:val="0"/>
          <w:sz w:val="24"/>
          <w:highlight w:val="yellow"/>
        </w:rPr>
        <w:t>逐项核实</w:t>
      </w:r>
      <w:r>
        <w:rPr>
          <w:rFonts w:ascii="Times New Roman" w:hAnsi="Times New Roman" w:eastAsia="宋体"/>
          <w:b w:val="0"/>
          <w:sz w:val="24"/>
        </w:rPr>
        <w:t>。仿真中还应区分算法本身的改进与平台接口、执行器限幅等工程因素的影响。</w:t>
      </w:r>
    </w:p>
    <w:p>
      <w:pPr>
        <w:pStyle w:val="a7"/>
        <w:spacing w:line="360" w:lineRule="auto" w:beforeLines="0" w:before="120" w:afterLines="0" w:after="120"/>
        <w:ind w:firstLineChars="200" w:firstLine="482" w:left="0"/>
      </w:pPr>
      <w:r>
        <w:rPr>
          <w:rFonts w:ascii="Times New Roman" w:hAnsi="Times New Roman" w:eastAsia="宋体"/>
          <w:b w:val="0"/>
          <w:sz w:val="24"/>
        </w:rPr>
        <w:t>因此，本课题</w:t>
      </w:r>
      <w:r>
        <w:rPr>
          <w:rFonts w:ascii="Times New Roman" w:hAnsi="Times New Roman" w:eastAsia="宋体"/>
          <w:b w:val="0"/>
          <w:strike/>
          <w:sz w:val="24"/>
        </w:rPr>
        <w:t>将已有工作作为理论与工程基础，把研究问题聚焦于“适用于八推进器航行器的运动预测模型—考虑推力约束的运动</w:t>
      </w:r>
      <w:r>
        <w:rPr>
          <w:rFonts w:ascii="Times New Roman" w:hAnsi="Times New Roman" w:eastAsia="宋体"/>
          <w:b w:val="0"/>
          <w:sz w:val="24"/>
          <w:highlight w:val="yellow"/>
        </w:rPr>
        <w:t>的研究切入点不是简单移植某一种控制算法，而是围绕“控制导向模型的有效性—</w:t>
      </w:r>
      <w:r>
        <w:rPr>
          <w:rFonts w:ascii="Times New Roman" w:hAnsi="Times New Roman" w:eastAsia="宋体"/>
          <w:b w:val="0"/>
          <w:sz w:val="24"/>
        </w:rPr>
        <w:t>控制与分配</w:t>
      </w:r>
      <w:r>
        <w:rPr>
          <w:rFonts w:ascii="Times New Roman" w:hAnsi="Times New Roman" w:eastAsia="宋体"/>
          <w:b w:val="0"/>
          <w:sz w:val="24"/>
          <w:highlight w:val="yellow"/>
        </w:rPr>
        <w:t>的推力可实现性</w:t>
      </w:r>
      <w:r>
        <w:rPr>
          <w:rFonts w:ascii="Times New Roman" w:hAnsi="Times New Roman" w:eastAsia="宋体"/>
          <w:b w:val="0"/>
          <w:sz w:val="24"/>
        </w:rPr>
        <w:t>—PX4环境</w:t>
      </w:r>
      <w:r>
        <w:rPr>
          <w:rFonts w:ascii="Times New Roman" w:hAnsi="Times New Roman" w:eastAsia="宋体"/>
          <w:b w:val="0"/>
          <w:strike/>
          <w:sz w:val="24"/>
        </w:rPr>
        <w:t>下的</w:t>
      </w:r>
      <w:r>
        <w:rPr>
          <w:rFonts w:ascii="Times New Roman" w:hAnsi="Times New Roman" w:eastAsia="宋体"/>
          <w:b w:val="0"/>
          <w:sz w:val="24"/>
          <w:highlight w:val="yellow"/>
        </w:rPr>
        <w:t>中的可复现</w:t>
      </w:r>
      <w:r>
        <w:rPr>
          <w:rFonts w:ascii="Times New Roman" w:hAnsi="Times New Roman" w:eastAsia="宋体"/>
          <w:b w:val="0"/>
          <w:sz w:val="24"/>
        </w:rPr>
        <w:t>闭环验证”</w:t>
      </w:r>
      <w:r>
        <w:rPr>
          <w:rFonts w:ascii="Times New Roman" w:hAnsi="Times New Roman" w:eastAsia="宋体"/>
          <w:b w:val="0"/>
          <w:strike/>
          <w:sz w:val="24"/>
        </w:rPr>
        <w:t>这一连续链条。上述评述旨在说明选题的研究空间</w:t>
      </w:r>
      <w:r>
        <w:rPr>
          <w:rFonts w:ascii="Times New Roman" w:hAnsi="Times New Roman" w:eastAsia="宋体"/>
          <w:b w:val="0"/>
          <w:sz w:val="24"/>
          <w:highlight w:val="yellow"/>
        </w:rPr>
        <w:t>构建相互衔接的问题链。这一定位说明了已有成果应用于具体八推进器平台时仍需检验的环节</w:t>
      </w:r>
      <w:r>
        <w:rPr>
          <w:rFonts w:ascii="Times New Roman" w:hAnsi="Times New Roman" w:eastAsia="宋体"/>
          <w:b w:val="0"/>
          <w:sz w:val="24"/>
        </w:rPr>
        <w:t>；具体</w:t>
      </w:r>
      <w:r>
        <w:rPr>
          <w:rFonts w:ascii="Times New Roman" w:hAnsi="Times New Roman" w:eastAsia="宋体"/>
          <w:b w:val="0"/>
          <w:strike/>
          <w:sz w:val="24"/>
        </w:rPr>
        <w:t>采用何种</w:t>
      </w:r>
      <w:r>
        <w:rPr>
          <w:rFonts w:ascii="Times New Roman" w:hAnsi="Times New Roman" w:eastAsia="宋体"/>
          <w:b w:val="0"/>
          <w:sz w:val="24"/>
          <w:highlight w:val="yellow"/>
        </w:rPr>
        <w:t>的控制器结构、</w:t>
      </w:r>
      <w:r>
        <w:rPr>
          <w:rFonts w:ascii="Times New Roman" w:hAnsi="Times New Roman" w:eastAsia="宋体"/>
          <w:b w:val="0"/>
          <w:sz w:val="24"/>
        </w:rPr>
        <w:t>模型形式、</w:t>
      </w:r>
      <w:r>
        <w:rPr>
          <w:rFonts w:ascii="Times New Roman" w:hAnsi="Times New Roman" w:eastAsia="宋体"/>
          <w:b w:val="0"/>
          <w:strike/>
          <w:sz w:val="24"/>
        </w:rPr>
        <w:t>优化方法、</w:t>
      </w:r>
      <w:r>
        <w:rPr>
          <w:rFonts w:ascii="Times New Roman" w:hAnsi="Times New Roman" w:eastAsia="宋体"/>
          <w:b w:val="0"/>
          <w:sz w:val="24"/>
        </w:rPr>
        <w:t>软件接口</w:t>
      </w:r>
      <w:r>
        <w:rPr>
          <w:rFonts w:ascii="Times New Roman" w:hAnsi="Times New Roman" w:eastAsia="宋体"/>
          <w:b w:val="0"/>
          <w:strike/>
          <w:sz w:val="24"/>
        </w:rPr>
        <w:t>和</w:t>
      </w:r>
      <w:r>
        <w:rPr>
          <w:rFonts w:ascii="Times New Roman" w:hAnsi="Times New Roman" w:eastAsia="宋体"/>
          <w:b w:val="0"/>
          <w:sz w:val="24"/>
          <w:highlight w:val="yellow"/>
        </w:rPr>
        <w:t>及</w:t>
      </w:r>
      <w:r>
        <w:rPr>
          <w:rFonts w:ascii="Times New Roman" w:hAnsi="Times New Roman" w:eastAsia="宋体"/>
          <w:b w:val="0"/>
          <w:sz w:val="24"/>
        </w:rPr>
        <w:t>验证指标，应在下文“毕业论文方案介绍”中</w:t>
      </w:r>
      <w:r>
        <w:rPr>
          <w:rFonts w:ascii="Times New Roman" w:hAnsi="Times New Roman" w:eastAsia="宋体"/>
          <w:b w:val="0"/>
          <w:strike/>
          <w:sz w:val="24"/>
        </w:rPr>
        <w:t>进一步确定</w:t>
      </w:r>
      <w:r>
        <w:rPr>
          <w:rFonts w:ascii="Times New Roman" w:hAnsi="Times New Roman" w:eastAsia="宋体"/>
          <w:b w:val="0"/>
          <w:sz w:val="24"/>
          <w:highlight w:val="yellow"/>
        </w:rPr>
        <w:t>明确</w:t>
      </w:r>
      <w:r>
        <w:rPr>
          <w:rFonts w:ascii="Times New Roman" w:hAnsi="Times New Roman" w:eastAsia="宋体"/>
          <w:b w:val="0"/>
          <w:sz w:val="24"/>
        </w:rPr>
        <w:t>。</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pPr>
        <w:jc w:val="center"/>
        <w:spacing w:line="360" w:lineRule="auto" w:beforeLines="50" w:before="120" w:afterLines="20" w:after="48"/>
        <w:ind w:firstLine="0" w:firstLineChars="0"/>
      </w:pPr>
      <w:r>
        <w:rPr>
          <w:rFonts w:ascii="Times New Roman" w:hAnsi="Times New Roman" w:cs="Times New Roman" w:eastAsia="宋体"/>
          <w:b w:val="0"/>
          <w:sz w:val="21"/>
        </w:rPr>
        <w:t>表 1 课题进度安排与阶段成果表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078"/>
        <w:gridCol w:w="2078"/>
        <w:gridCol w:w="2078"/>
        <w:gridCol w:w="2078"/>
      </w:tblGrid>
      <w:tr>
        <w:trPr>
          <w:tblHeader/>
          <w:cantSplit/>
        </w:trPr>
        <w:tc>
          <w:tcPr>
            <w:tcW w:type="dxa" w:w="1020"/>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阶段序号</w:t>
            </w:r>
          </w:p>
        </w:tc>
        <w:tc>
          <w:tcPr>
            <w:tcW w:type="dxa" w:w="204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起止时间（教学周）</w:t>
            </w:r>
          </w:p>
        </w:tc>
        <w:tc>
          <w:tcPr>
            <w:tcW w:type="dxa" w:w="2835"/>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主要研究工作内容</w:t>
            </w:r>
          </w:p>
        </w:tc>
        <w:tc>
          <w:tcPr>
            <w:tcW w:type="dxa" w:w="272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拟达成的阶段性成果与交付物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阶段一</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2026.09.16 ~ 2026.10.09</w:t>
              <w:br/>
              <w:t>（第 1 ~ 4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查阅国内外经典文献与行业标准，比选技术路线与方案，完成开题报告撰写与论证</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提交开题报告正式文本，完成开题答辩 PPT 汇报并通过开题答辩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阶段二</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2026.10.12 ~ 2026.11.20</w:t>
              <w:br/>
              <w:t>（第 5 ~ 10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建立六自由度机理动力学方程，计算刚体质量惯性参数，配置 PX4/SITL 水动力仿真环境</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完成动力学模型方程推导，建立参数化的 SITL 仿真工程基座</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阶段三</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2026.11.23 ~ 2027.01.15</w:t>
              <w:br/>
              <w:t>（第 11 ~ 18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设计水池阶跃与衰减试验工况，采集板载响应数据，利用动量滤波回归提取参数并校验残差；总结阶段性进展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提取水动力阻尼与有效惯性参数，完成模型残差校验；提交中期报告并通过中期答辩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阶段四</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2027.02.22 ~ 2027.04.02</w:t>
              <w:br/>
              <w:t>（第 1 ~ 6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在 PX4 底层嵌入动力学模型前馈补偿算法，构建力矩优先分配机制，开展 SITL 与水池实机消融对比测试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完成控制与分配算法工程代码开发，获取消融对比测试曲线与评估数据指标</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阶段五</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2027.04.05 ~ 2027.05.14</w:t>
              <w:br/>
              <w:t>（第 7 ~ 12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提炼全周期研究成果，绘制学术图表，撰写并修改毕业论文，参加盲审与毕业答辩，完成资料归档</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提交符合学术规范的毕业论文正稿，通过论文查重与盲审，完成毕业答辩与材料归档</w:t>
            </w:r>
          </w:p>
        </w:tc>
      </w:tr>
    </w:tbl>
    <w:p>
      <w:pPr>
        <w:pStyle w:val="a7"/>
        <w:spacing w:line="240" w:lineRule="auto" w:beforeLines="0" w:before="0" w:afterLines="0" w:after="0"/>
        <w:ind w:firstLine="0" w:firstLineChars="0"/>
      </w:pP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[11]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[12]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[13]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[14] PARK S, SUNG S, CHOI H. System identification method for robotic manipulator based on dynamic momentum regressor[J]. IEEE Transactions on Instrumentation and Measurement, 2016, 65(9): 2085-2095.</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FERNANDES D, SØRENSEN D, PETTERSEN K Y, et al. Output-feedback motion control of an underwater vehicle-manipulator system[J]. Control Engineering Practice, 2015, 39: 50-64.</w:t>
      </w:r>
    </w:p>
    <w:p>
      <w:pPr>
        <w:pStyle w:val="a9"/>
        <w:spacing w:line="360" w:lineRule="auto" w:beforeLines="0" w:before="0" w:afterLines="0" w:after="0"/>
        <w:ind w:left="420" w:hanging="420"/>
      </w:pPr>
      <w:r>
        <w:rPr>
          <w:rFonts w:ascii="Times New Roman" w:hAnsi="Times New Roman" w:cs="Times New Roman" w:eastAsia="宋体"/>
          <w:b w:val="0"/>
          <w:sz w:val="24"/>
        </w:rPr>
        <w:t>[23]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[24]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[25]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[26] 钱辰, 方勇纯. 面向扑翼飞行控制的建模与奇异摄动分析[J]. 自动化学报, 2020, 46(12): 2585-2595.</w:t>
      </w:r>
    </w:p>
    <w:p>
      <w:pPr>
        <w:pStyle w:val="a9"/>
        <w:spacing w:line="360" w:lineRule="auto" w:beforeLines="0" w:before="0" w:afterLines="0" w:after="0"/>
        <w:ind w:left="420" w:hanging="420"/>
      </w:pPr>
      <w:r>
        <w:rPr>
          <w:rFonts w:ascii="Times New Roman" w:hAnsi="Times New Roman" w:cs="Times New Roman" w:eastAsia="宋体"/>
          <w:b w:val="0"/>
          <w:sz w:val="24"/>
        </w:rPr>
        <w:t>[27] SMEUR E J J, CHU Q P, DE CROON G C H E. Adaptive incremental nonlinear dynamic inversion for attitude control of micro air vehicles[J]. Journal of Guidance, Control, and Dynamics, 2016, 39(3): 450-461.</w:t>
      </w:r>
    </w:p>
    <w:p>
      <w:pPr>
        <w:pStyle w:val="a9"/>
        <w:spacing w:line="360" w:lineRule="auto" w:beforeLines="0" w:before="0" w:afterLines="0" w:after="0"/>
        <w:ind w:left="420" w:hanging="420"/>
      </w:pPr>
      <w:r>
        <w:rPr>
          <w:rFonts w:ascii="Times New Roman" w:hAnsi="Times New Roman" w:cs="Times New Roman" w:eastAsia="宋体"/>
          <w:b w:val="0"/>
          <w:sz w:val="24"/>
        </w:rPr>
        <w:t>[28] SLAWIK T, VYAS S, CHRISTENSEN L, et al. Attitude control of the hydrobatic intervention AUV Cuttlefish using incremental nonlinear dynamic inversion[C]//2024 IEEE/RSJ International Conference on Intelligent Robots and Systems (IROS). Abu Dhabi, UAE: IEEE, 2024: 781-787.</w:t>
      </w:r>
    </w:p>
    <w:p>
      <w:pPr>
        <w:pStyle w:val="a9"/>
        <w:spacing w:line="360" w:lineRule="auto" w:beforeLines="0" w:before="0" w:afterLines="0" w:after="0"/>
        <w:ind w:left="420" w:hanging="420"/>
      </w:pPr>
      <w:r>
        <w:rPr>
          <w:rFonts w:ascii="Times New Roman" w:hAnsi="Times New Roman" w:cs="Times New Roman" w:eastAsia="宋体"/>
          <w:b w:val="0"/>
          <w:sz w:val="24"/>
        </w:rPr>
        <w:t>[29]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[30]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[31]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[32] TORRENTE G, KAUFMANN E, FÖHN P, et al. Data-driven MPC for quadrotors[J]. IEEE Robotics and Automation Letters, 2021, 6(2): 3769-3776.</w:t>
      </w:r>
    </w:p>
    <w:p>
      <w:pPr>
        <w:pStyle w:val="a9"/>
        <w:spacing w:line="360" w:lineRule="auto" w:beforeLines="0" w:before="0" w:afterLines="0" w:after="0"/>
        <w:ind w:left="420" w:hanging="420"/>
      </w:pPr>
      <w:r>
        <w:rPr>
          <w:rFonts w:ascii="Times New Roman" w:hAnsi="Times New Roman" w:cs="Times New Roman" w:eastAsia="宋体"/>
          <w:b w:val="0"/>
          <w:sz w:val="24"/>
        </w:rPr>
        <w:t>[33] LINIGER A, DOMAHIDI A, MORARI M. Optimization-based autonomous racing of 1:43 scale RC cars[J]. Optimal Control Applications and Methods, 2015, 36(5): 628-647.</w:t>
      </w:r>
    </w:p>
    <w:p>
      <w:pPr>
        <w:pStyle w:val="a9"/>
        <w:spacing w:line="360" w:lineRule="auto" w:beforeLines="0" w:before="0" w:afterLines="0" w:after="0"/>
        <w:ind w:left="420" w:hanging="420"/>
      </w:pPr>
      <w:r>
        <w:rPr>
          <w:rFonts w:ascii="Times New Roman" w:hAnsi="Times New Roman" w:cs="Times New Roman" w:eastAsia="宋体"/>
          <w:b w:val="0"/>
          <w:sz w:val="24"/>
        </w:rPr>
        <w:t>[34] SHI G, SHI X, O'CONNELL M, et al. Neural-Lander: Stable drone landing control using learned dynamics[C]//2019 International Conference on Robotics and Automation (ICRA). Montreal, QC, Canada: IEEE, 2019: 9784-9790.</w:t>
      </w:r>
    </w:p>
    <w:p>
      <w:pPr>
        <w:pStyle w:val="a9"/>
        <w:spacing w:line="360" w:lineRule="auto" w:beforeLines="0" w:before="0" w:afterLines="0" w:after="0"/>
        <w:ind w:left="420" w:hanging="420"/>
      </w:pPr>
      <w:r>
        <w:rPr>
          <w:rFonts w:ascii="Times New Roman" w:hAnsi="Times New Roman" w:cs="Times New Roman" w:eastAsia="宋体"/>
          <w:b w:val="0"/>
          <w:sz w:val="24"/>
        </w:rPr>
        <w:t>[35] O'CONNELL M, SHI G, SHI X, et al. Neural-Fly enables rapid learning for agile flight in strong winds[J]. Science Robotics, 2022, 7(66): eabg6513.</w:t>
      </w:r>
    </w:p>
    <w:p>
      <w:pPr>
        <w:pStyle w:val="a9"/>
        <w:spacing w:line="360" w:lineRule="auto" w:beforeLines="0" w:before="0" w:afterLines="0" w:after="0"/>
        <w:ind w:left="420" w:hanging="420"/>
      </w:pPr>
      <w:r>
        <w:rPr>
          <w:rFonts w:ascii="Times New Roman" w:hAnsi="Times New Roman" w:cs="Times New Roman" w:eastAsia="宋体"/>
          <w:b w:val="0"/>
          <w:sz w:val="24"/>
        </w:rPr>
        <w:t>[36] BRUNKE L, GREEFF M, HALL A W, et al. Safe learning in robotics: From learning-based control to safe reinforcement learning[J]. Annual Review of Control, Robotics, and Autonomous Systems, 2022, 5: 411-444.</w:t>
      </w:r>
    </w:p>
    <w:p>
      <w:pPr>
        <w:pStyle w:val="a9"/>
        <w:spacing w:line="360" w:lineRule="auto" w:beforeLines="0" w:before="0" w:afterLines="0" w:after="0"/>
        <w:ind w:left="420" w:hanging="420"/>
      </w:pPr>
      <w:r>
        <w:rPr>
          <w:rFonts w:ascii="Times New Roman" w:hAnsi="Times New Roman" w:cs="Times New Roman" w:eastAsia="宋体"/>
          <w:b w:val="0"/>
          <w:sz w:val="24"/>
        </w:rPr>
        <w:t>[37]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[38]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[39]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[40]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[41]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[42] LI J H, LEE M J, KIM M G, et al. MCE-based direct FTC method for dynamic positioning of underwater vehicles with thruster redundancy[C]//2025 IEEE/RSJ International Conference on Intelligent Robots and Systems (IROS). Abu Dhabi, UAE: IEEE, 2025: arXiv:2503.18348.</w:t>
      </w:r>
    </w:p>
    <w:p>
      <w:pPr>
        <w:pStyle w:val="a9"/>
        <w:spacing w:line="360" w:lineRule="auto" w:beforeLines="0" w:before="0" w:afterLines="0" w:after="0"/>
        <w:ind w:left="420" w:hanging="420"/>
      </w:pPr>
      <w:r>
        <w:rPr>
          <w:rFonts w:ascii="Times New Roman" w:hAnsi="Times New Roman" w:cs="Times New Roman" w:eastAsia="宋体"/>
          <w:b w:val="0"/>
          <w:sz w:val="24"/>
        </w:rPr>
        <w:t>[43]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[44] DUECKER D A, BAUSCHMANN N, HANSEN T, et al. HippoCampus X—A hydrobatic open-source micro AUV for confined environments[C]//2020 IEEE/OES Autonomous Underwater Vehicles Symposium (AUV). St. John's, NL, Canada: IEEE, 2020: 1-6.</w:t>
      </w:r>
    </w:p>
    <w:p>
      <w:pPr>
        <w:pStyle w:val="a9"/>
        <w:spacing w:line="360" w:lineRule="auto" w:beforeLines="0" w:before="0" w:afterLines="0" w:after="0"/>
        <w:ind w:left="420" w:hanging="420"/>
      </w:pPr>
      <w:r>
        <w:rPr>
          <w:rFonts w:ascii="Times New Roman" w:hAnsi="Times New Roman" w:cs="Times New Roman" w:eastAsia="宋体"/>
          <w:b w:val="0"/>
          <w:sz w:val="24"/>
        </w:rPr>
        <w:t>[45] VON BENZON M, SØRENSEN F F, UTH E, et al. An open-source benchmark simulator: Control of a BlueROV2 underwater robot[J]. Journal of Marine Science and Engineering, 2022, 10(12): 1898.</w:t>
      </w:r>
    </w:p>
    <w:p>
      <w:pPr>
        <w:pStyle w:val="a9"/>
        <w:spacing w:line="360" w:lineRule="auto" w:before="120" w:after="120"/>
        <w:ind w:hanging="420" w:left="420"/>
      </w:pPr>
      <w:r>
        <w:rPr>
          <w:rFonts w:ascii="Times New Roman" w:hAnsi="Times New Roman" w:eastAsia="宋体"/>
          <w:b w:val="0"/>
          <w:sz w:val="24"/>
        </w:rPr>
        <w:t>[46] PX4 Development Team. Control Allocation (Mixing)[EB/OL]. [2026-10-10]. https://docs.px4.io/main/en/concept/control_allocation.</w:t>
      </w:r>
    </w:p>
    <w:p>
      <w:pPr>
        <w:pStyle w:val="a9"/>
        <w:spacing w:line="360" w:lineRule="auto" w:before="120" w:after="120"/>
        <w:ind w:hanging="420" w:left="420"/>
      </w:pPr>
      <w:r>
        <w:rPr>
          <w:rFonts w:ascii="Times New Roman" w:hAnsi="Times New Roman" w:eastAsia="宋体"/>
          <w:b w:val="0"/>
          <w:sz w:val="24"/>
        </w:rPr>
        <w:t>[47] PX4 Development Team. BlueROV2 (UUV)[EB/OL]. [2026-10-10]. https://docs.px4.io/main/en/frames_sub/bluerov2.</w:t>
      </w:r>
    </w:p>
    <w:p>
      <w:pPr>
        <w:pStyle w:val="a9"/>
        <w:spacing w:line="360" w:lineRule="auto" w:before="120" w:after="120"/>
        <w:ind w:hanging="420" w:left="420"/>
      </w:pPr>
      <w:r>
        <w:rPr>
          <w:rFonts w:ascii="Times New Roman" w:hAnsi="Times New Roman" w:eastAsia="宋体"/>
          <w:b w:val="0"/>
          <w:sz w:val="24"/>
        </w:rPr>
        <w:t>[48] PX4 Development Team. Offboard Mode (Generic/All Frames)[EB/OL]. [2026-10-10]. https://docs.px4.io/main/en/flight_modes/offboard.</w:t>
      </w:r>
    </w:p>
    <w:permEnd w:id="61024898"/>
    <w:p w14:paraId="2CA8248D" w14:textId="77777777" w:rsidR="00117889" w:rsidRPr="0008585D" w:rsidRDefault="00117889" w:rsidP="0008585D">
      <w:pPr>
        <w:keepNext/>
        <w:pageBreakBefore/>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基于PX4的水下航行器模型控制方法研究（第2节修订净稿）</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