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ind w:firstLine="0"/>
        <w:jc w:val="center"/>
      </w:pPr>
      <w:r>
        <w:rPr>
          <w:rFonts w:ascii="Times New Roman" w:hAnsi="Times New Roman" w:eastAsia="黑体"/>
          <w:b/>
          <w:sz w:val="28"/>
        </w:rPr>
        <w:t>PX4 开题报告第 2 部分对比评估与修改说明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评估对象：《基于PX4的水下航行器模型控制方法研究》；仅修订“2．国内外在该方向的研究现状和发展趋势”</w:t>
      </w:r>
    </w:p>
    <w:p>
      <w:pPr>
        <w:keepNext/>
        <w:spacing w:before="200" w:after="80"/>
        <w:ind w:firstLine="0"/>
      </w:pPr>
      <w:r>
        <w:rPr>
          <w:rFonts w:ascii="Times New Roman" w:hAnsi="Times New Roman" w:eastAsia="黑体"/>
          <w:b/>
          <w:sz w:val="24"/>
        </w:rPr>
        <w:t>一、这部分到底应当承担什么功能</w:t>
      </w:r>
    </w:p>
    <w:p>
      <w:pPr>
        <w:ind w:firstLine="482"/>
      </w:pPr>
      <w:r>
        <w:rPr>
          <w:rFonts w:ascii="Times New Roman" w:hAnsi="Times New Roman" w:eastAsia="宋体"/>
          <w:b w:val="0"/>
          <w:sz w:val="24"/>
        </w:rPr>
        <w:t>依照上传的同济大学开题报告模板，第1部分题为“课题来源及研究的目的和意义”，第2部分题为“国内外在该方向的研究现状和发展趋势”，之后才进入“毕业论文方案介绍”。因此，第2部分的任务不是再解释选题为什么重要，也不是提前完整写出自己的算法与试验方案，而是用有出处的代表性研究说明：哪些问题已有可靠解决路径；这些路径在什么条件下有效；与目标对象及平台有哪些不可直接迁移之处；由此能够谨慎提出哪些尚待验证的问题。</w:t>
      </w:r>
    </w:p>
    <w:p>
      <w:pPr>
        <w:ind w:firstLine="482"/>
      </w:pPr>
      <w:r>
        <w:rPr>
          <w:rFonts w:ascii="Times New Roman" w:hAnsi="Times New Roman" w:eastAsia="宋体"/>
          <w:b w:val="0"/>
          <w:sz w:val="24"/>
        </w:rPr>
        <w:t>最合适的论证链条是“明确评述维度 → 按主题归纳代表工作 → 比较适用条件与证据边界 → 提炼发展取向 → 收束到本课题的问题定位”。“现状”回答已有成果及其证据，“趋势”回答值得关注的技术取向，“切入点”回答为什么有必要在本课题的特定对象上做进一步验证；三者不能只靠技术名词堆砌。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tblHeader w:val="true"/>
        </w:trPr>
        <w:tc>
          <w:tcPr>
            <w:tcW w:type="dxa" w:w="1814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相邻章节</w:t>
            </w:r>
          </w:p>
        </w:tc>
        <w:tc>
          <w:tcPr>
            <w:tcW w:type="dxa" w:w="2891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主要应回答的问题</w:t>
            </w:r>
          </w:p>
        </w:tc>
        <w:tc>
          <w:tcPr>
            <w:tcW w:type="dxa" w:w="3572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与第2部分的边界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第1部分：来源、目的与意义</w:t>
            </w:r>
          </w:p>
        </w:tc>
        <w:tc>
          <w:tcPr>
            <w:tcW w:type="dxa" w:w="2891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为什么有应用需要？对象和任务是什么？为何值得研究？</w:t>
            </w:r>
          </w:p>
        </w:tc>
        <w:tc>
          <w:tcPr>
            <w:tcW w:type="dxa" w:w="3572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应交代近距离巡检需求、八推进器对象、模型与推力约束背景；第2部分不应大段重复这些动机。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第2部分：现状与趋势</w:t>
            </w:r>
          </w:p>
        </w:tc>
        <w:tc>
          <w:tcPr>
            <w:tcW w:type="dxa" w:w="2891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现有研究已做到什么、证据和适用条件是什么、什么环节还需验证？</w:t>
            </w:r>
          </w:p>
        </w:tc>
        <w:tc>
          <w:tcPr>
            <w:tcW w:type="dxa" w:w="3572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必须以文献/官方资料支撑比较；可点出问题定位，但不宜把尚未论证的算法直接写成必然更优。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第二章：主要内容与研究方案</w:t>
            </w:r>
          </w:p>
        </w:tc>
        <w:tc>
          <w:tcPr>
            <w:tcW w:type="dxa" w:w="2891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具体做什么、采用何种模型和控制器、如何接入PX4、怎样开展对照验证？</w:t>
            </w:r>
          </w:p>
        </w:tc>
        <w:tc>
          <w:tcPr>
            <w:tcW w:type="dxa" w:w="3572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应给技术路线、平台版本、工况、评价指标及可行性。第2部分只论证其必要性。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参考文献与进度安排</w:t>
            </w:r>
          </w:p>
        </w:tc>
        <w:tc>
          <w:tcPr>
            <w:tcW w:type="dxa" w:w="2891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出处能否追溯？计划是否对应研究目标与各阶段任务？</w:t>
            </w:r>
          </w:p>
        </w:tc>
        <w:tc>
          <w:tcPr>
            <w:tcW w:type="dxa" w:w="3572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第2部分的引用应支持论断，进度安排必须与第1部分及方案中约定的方法一致。</w:t>
            </w:r>
          </w:p>
        </w:tc>
      </w:tr>
    </w:tbl>
    <w:p>
      <w:pPr>
        <w:keepNext/>
        <w:spacing w:before="200" w:after="80"/>
        <w:ind w:firstLine="0"/>
      </w:pPr>
      <w:r>
        <w:rPr>
          <w:rFonts w:ascii="Times New Roman" w:hAnsi="Times New Roman" w:eastAsia="黑体"/>
          <w:b/>
          <w:sz w:val="24"/>
        </w:rPr>
        <w:t>二、与另外两份报告的具体比较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1247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观察维度</w:t>
            </w:r>
          </w:p>
        </w:tc>
        <w:tc>
          <w:tcPr>
            <w:tcW w:type="dxa" w:w="2324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混合式双轮足报告</w:t>
            </w:r>
          </w:p>
        </w:tc>
        <w:tc>
          <w:tcPr>
            <w:tcW w:type="dxa" w:w="2324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振动碾压报告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PX4原稿判断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组织方式</w:t>
            </w:r>
          </w:p>
        </w:tc>
        <w:tc>
          <w:tcPr>
            <w:tcW w:type="dxa" w:w="2324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结构按串联、并联、混合式构型划分，运动控制再按算法与代表成果展开；分类清晰。</w:t>
            </w:r>
          </w:p>
        </w:tc>
        <w:tc>
          <w:tcPr>
            <w:tcW w:type="dxa" w:w="2324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按“路径跟踪控制—侧滑估计—针对性研究”逐层收敛，问题导向突出。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“模型—控制/分配—PX4闭环—趋势”更符合课题链条；建议保留，并使每层的核心问题更明确。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成果分析</w:t>
            </w:r>
          </w:p>
        </w:tc>
        <w:tc>
          <w:tcPr>
            <w:tcW w:type="dxa" w:w="2324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列举Handle、Ascento、Ollie等实例，具有形象性，但存在连续介绍装置而比较不足的问题。</w:t>
            </w:r>
          </w:p>
        </w:tc>
        <w:tc>
          <w:tcPr>
            <w:tcW w:type="dxa" w:w="2324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能指出通用车辆方法在铰接、振动和可变形介质场景的迁移限制。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已有模型、控制、平台三类文献，优于纯罗列；仍应多说适用前提，少下笼统结论。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论据与判断</w:t>
            </w:r>
          </w:p>
        </w:tc>
        <w:tc>
          <w:tcPr>
            <w:tcW w:type="dxa" w:w="2324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“高级控制都较重”等结论比较概括，难直接覆盖各种实现条件。</w:t>
            </w:r>
          </w:p>
        </w:tc>
        <w:tc>
          <w:tcPr>
            <w:tcW w:type="dxa" w:w="2324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部分表述如“更强”“最佳”偏绝对，并有重复论述。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“本质差异”“全阶模型主要离线且过重”等原句证据力度不足，应改成待检验的条件性判断。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与研究方案的边界</w:t>
            </w:r>
          </w:p>
        </w:tc>
        <w:tc>
          <w:tcPr>
            <w:tcW w:type="dxa" w:w="2324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背景里已明确LQR–VMC–QP，但现状末尾也较早得出应选轻量级方案的结论。</w:t>
            </w:r>
          </w:p>
        </w:tc>
        <w:tc>
          <w:tcPr>
            <w:tcW w:type="dxa" w:w="2324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“本研究主要采用SVR”出现在研究现状中，略早于方案介绍。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原稿能把具体选型留到下文，值得保留；但第1部分MPC与进度安排的前馈补偿路线不一致，需全报告统一。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趋势及切入点</w:t>
            </w:r>
          </w:p>
        </w:tc>
        <w:tc>
          <w:tcPr>
            <w:tcW w:type="dxa" w:w="2324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以轻量级控制作为主要结论，但不同结构/算法比较相对缺少统一维度。</w:t>
            </w:r>
          </w:p>
        </w:tc>
        <w:tc>
          <w:tcPr>
            <w:tcW w:type="dxa" w:w="2324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末段较明确回到时变侧滑、在线估计和纠偏控制三环。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已有2.4专门归纳，有利于收束；可减少与2.1—2.3节小结之间的重复，并突出“尚需验证”而非宣告空白。</w:t>
            </w:r>
          </w:p>
        </w:tc>
      </w:tr>
    </w:tbl>
    <w:p>
      <w:pPr>
        <w:keepNext/>
        <w:spacing w:before="200" w:after="80"/>
        <w:ind w:firstLine="0"/>
      </w:pPr>
      <w:r>
        <w:rPr>
          <w:rFonts w:ascii="Times New Roman" w:hAnsi="Times New Roman" w:eastAsia="黑体"/>
          <w:b/>
          <w:sz w:val="24"/>
        </w:rPr>
        <w:t>三、PX4原稿的评价：结构较好，但需纠正几处关键论证</w:t>
      </w:r>
    </w:p>
    <w:p>
      <w:pPr>
        <w:ind w:left="283" w:hanging="283"/>
      </w:pPr>
      <w:r>
        <w:rPr>
          <w:rFonts w:ascii="Times New Roman" w:hAnsi="Times New Roman" w:eastAsia="宋体"/>
          <w:b w:val="0"/>
          <w:sz w:val="24"/>
        </w:rPr>
        <w:t>• 【达到要求】第2部分不是按年份堆积文章，而是由动力学模型、受约束控制与推力分配、PX4平台验证组成完整技术链，并在2.4形成总评，整体结构已经优于一般文献清单。</w:t>
      </w:r>
    </w:p>
    <w:p>
      <w:pPr>
        <w:ind w:left="283" w:hanging="283"/>
      </w:pPr>
      <w:r>
        <w:rPr>
          <w:rFonts w:ascii="Times New Roman" w:hAnsi="Times New Roman" w:eastAsia="宋体"/>
          <w:b w:val="0"/>
          <w:sz w:val="24"/>
        </w:rPr>
        <w:t>• 【主要逻辑问题】六自由度动力学方程是建模范围；八推进器是否能独立控制六个轴向取决于推力布局与分配矩阵。BlueROV2 Heavy官方文档列出的常用控制模式重点是平移与艏向，横滚/俯仰保持稳定，不能由“八推进器”直接推出任意六自由度轨迹控制能力。</w:t>
      </w:r>
    </w:p>
    <w:p>
      <w:pPr>
        <w:ind w:left="283" w:hanging="283"/>
      </w:pPr>
      <w:r>
        <w:rPr>
          <w:rFonts w:ascii="Times New Roman" w:hAnsi="Times New Roman" w:eastAsia="宋体"/>
          <w:b w:val="0"/>
          <w:sz w:val="24"/>
        </w:rPr>
        <w:t>• 【证据边界】原稿“流线型与开架式水动力耦合存在本质差异”“现有全阶模型主要面向离线仿真、直接在线应用必然过重”表述过强，现有引用更能支持“参数、工况和计算开销需针对构型评估”，不能证明全部现有模型的用途与性能。</w:t>
      </w:r>
    </w:p>
    <w:p>
      <w:pPr>
        <w:ind w:left="283" w:hanging="283"/>
      </w:pPr>
      <w:r>
        <w:rPr>
          <w:rFonts w:ascii="Times New Roman" w:hAnsi="Times New Roman" w:eastAsia="宋体"/>
          <w:b w:val="0"/>
          <w:sz w:val="24"/>
        </w:rPr>
        <w:t>• 【论述范围】2.1罗列稀疏动力学辨识、PINN、神经常微分方程等一般性理论有参考价值，但与八推进器、低速闭环的联系较弱；应明确“可借鉴而未必直接适用”，避免把跨领域方法的存在等同于水下平台有效。</w:t>
      </w:r>
    </w:p>
    <w:p>
      <w:pPr>
        <w:ind w:left="283" w:hanging="283"/>
      </w:pPr>
      <w:r>
        <w:rPr>
          <w:rFonts w:ascii="Times New Roman" w:hAnsi="Times New Roman" w:eastAsia="宋体"/>
          <w:b w:val="0"/>
          <w:sz w:val="24"/>
        </w:rPr>
        <w:t>• 【衔接问题】2.2上层MPC与下层控制分配的关系已经指出，但原稿“下层满足限幅仍产生无法实现的控制需求”逻辑不够准确。更准确的说法是：上层指令超出可实现域时，下层受限后的实际输出与期望不一致。</w:t>
      </w:r>
    </w:p>
    <w:p>
      <w:pPr>
        <w:ind w:left="283" w:hanging="283"/>
      </w:pPr>
      <w:r>
        <w:rPr>
          <w:rFonts w:ascii="Times New Roman" w:hAnsi="Times New Roman" w:eastAsia="宋体"/>
          <w:b w:val="0"/>
          <w:sz w:val="24"/>
        </w:rPr>
        <w:t>• 【平台证据】2.3已经正确区分“有BlueROV2仿真模型”与“完成PX4—Gazebo—控制器联调”，建议进一步列出官方已有模式、版本与Offboard的约束，避免把“存在通用接口”写成“目标机型接入可行”。</w:t>
      </w:r>
    </w:p>
    <w:p>
      <w:pPr>
        <w:ind w:left="283" w:hanging="283"/>
      </w:pPr>
      <w:r>
        <w:rPr>
          <w:rFonts w:ascii="Times New Roman" w:hAnsi="Times New Roman" w:eastAsia="宋体"/>
          <w:b w:val="0"/>
          <w:sz w:val="24"/>
        </w:rPr>
        <w:t>• 【语言与结构】第2部分导语过多重复第1部分的应用场景，2.1—2.3小结与2.4也存在轻微同义复述；修改时采取“删重复、补桥梁、谨慎下结论”的局部精修，不推倒重写。</w:t>
      </w:r>
    </w:p>
    <w:p>
      <w:pPr>
        <w:keepNext/>
        <w:spacing w:before="200" w:after="80"/>
        <w:ind w:firstLine="0"/>
      </w:pPr>
      <w:r>
        <w:rPr>
          <w:rFonts w:ascii="Times New Roman" w:hAnsi="Times New Roman" w:eastAsia="黑体"/>
          <w:b/>
          <w:sz w:val="24"/>
        </w:rPr>
        <w:t>四、逐段修改理由（可直接对照黄色/删除线稿）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rPr>
          <w:tblHeader w:val="true"/>
        </w:trPr>
        <w:tc>
          <w:tcPr>
            <w:tcW w:type="dxa" w:w="1587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修改位置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主要原问题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调整方向与原因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导语（原第23段）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重复应用场景，未把评述任务与章节功能说透。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缩短背景复述；设置“模型是否可信—推力是否可实现—平台是否闭环”三个判别问题。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2.1首段（25）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“高精度模型”与“可求解模型”的关系较泛。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明确主要耦合项、参数可获得性与计算周期并列评价。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2.1机理（26）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“本质差异”和“全阶模型主要离线、计算必过重”未经充分证明。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转为“参数不能直接互用、是否降阶需要实测/实算评估”的有条件表述。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2.1辨识（27）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对[15]适用对象的称谓略窄；结论偏口号。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改为系统与执行器联合辨识；明确可辨识性及预测效果。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2.1数据方法（28）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泛方法与水下应用之间的迁移关系交代偏弱。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增加仿生机器人与开架式八推进器不同、不可直接推断性能的限定。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2.1小结（29）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把多种研究路径概括成单一普遍演进，趋势结论偏强。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改为互补思路，并落在“哪些项重要、性能能验证到何种程度”。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2.2首段（31）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读者易将“6自由度模型”误解为“6自由度均可独立驱动”。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明确控制分配矩阵、有效轴向、推力可实现域与评价标准。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2.2常规控制（32）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控制方法分类与实际路线“前馈补偿”未形成联系。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保留传统反馈控制优势，并补充模型前馈和反馈可组合、不能一概否定传统方案。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2.2预测控制（33）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MPC研究来自不同自由度/硬件平台，不能直接支持PX4实时性。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缩小到已验证的约束条件；指出目标平台算力与执行可行性仍需测量。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2.2推力分配（34）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“输出六自由度合力与力矩”容易被误读为都可实现。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使用“期望合力与力矩”，将分配称为实现或近似实现指令的独立步骤。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2.2小结（35）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“下层仍产生无法实现的需求”因果主语不明确。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明确上层期望超出可实现域→实际输出偏差→跟踪误差的链条。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2.3标题（36）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术语与数字的间隔不统一。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“PX4 开源”规范留空格，不改层级与序号。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2.3首段（37）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已公开支持、软件接口与SITL能力混在同一个判断。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划分三个独立的核验层次。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2.3平台框架（38）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Control Allocator和通用软件架构的具体实现需考虑版本。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限定为公开架构，增加机型配置、固件版本条件。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2.3水下支持（39）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“部分位置相关模式”表述笼统，缺乏控制轴向说明。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列出官方模式，明确横滚/俯仰稳定不代表任意6自由度轨迹控制；补足Offboard前提。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2.3验证（40）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可复现模型与PX4闭环集成的区别值得进一步具体化。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把模型、控制器、分配与执行器的时间一致性作为系统级验证条件。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2.3小结（41）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“更有价值的趋势”属于主观价值判断。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改为可复现、同工况条件下的多指标比较要求。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2.4总述（43）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“控制由反馈转向预测”等表述忽略方法可并行共存。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用“相关研究取向”替代普遍单向演进；反馈、前馈、预测、优化并列呈现。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2.4模型问题（44）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与2.1小结部分重复。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收束到模型关键参数、控制有效项与目标工况的验证。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2.4控制问题（45）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只强调MPC，难回应进度安排中的模型前馈思路。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平行纳入反馈/前馈/MPC作为研究现状中的不同路径，强调推力可行域一致。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2.4平台问题（46）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方法尚未最终确定，过早把MPC接入说成唯一工作。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改用研究型控制器接入的版本/接口问题，更符合文献评述角色。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2.4结尾（47）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“理论与工程基础—连续链条”略抽象，与前文略重复。</w:t>
            </w:r>
          </w:p>
        </w:tc>
        <w:tc>
          <w:tcPr>
            <w:tcW w:type="dxa" w:w="3855"/>
            <w:vAlign w:val="center"/>
          </w:tcPr>
          <w:p>
            <w:pPr>
              <w:spacing w:line="300" w:lineRule="auto" w:before="20" w:after="20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用可被验证的问题链收尾，把具体选型/指标留给方案章节。</w:t>
            </w:r>
          </w:p>
        </w:tc>
      </w:tr>
    </w:tbl>
    <w:p>
      <w:pPr>
        <w:keepNext/>
        <w:spacing w:before="200" w:after="80"/>
        <w:ind w:firstLine="0"/>
      </w:pPr>
      <w:r>
        <w:rPr>
          <w:rFonts w:ascii="Times New Roman" w:hAnsi="Times New Roman" w:eastAsia="黑体"/>
          <w:b/>
          <w:sz w:val="24"/>
        </w:rPr>
        <w:t>五、与其余部分必须同步核对的事项（未擅自改动原报告）</w:t>
      </w:r>
    </w:p>
    <w:p>
      <w:pPr>
        <w:ind w:firstLine="482"/>
      </w:pPr>
      <w:r>
        <w:rPr>
          <w:rFonts w:ascii="Times New Roman" w:hAnsi="Times New Roman" w:eastAsia="宋体"/>
          <w:b w:val="0"/>
          <w:sz w:val="24"/>
        </w:rPr>
        <w:t>1．【优先级最高：技术路线冲突】第1部分第20—21段明确把MPC设为研究方法，而原稿进度安排阶段四写的是“在PX4底层嵌入动力学模型前馈补偿算法，构建力矩优先分配机制”；后面的“主要研究内容”“研究方案”仍为“（待后续阶段撰写）”。这不是第2部分单独润色就能消除的差异。需要确定本课题最终以MPC为主，还是以前馈补偿+控制分配为主，抑或将二者设计为可比较的两种方案，并同步修改第1部分、第二章、进度安排及标题中的方法表述。</w:t>
      </w:r>
    </w:p>
    <w:p>
      <w:pPr>
        <w:ind w:firstLine="482"/>
      </w:pPr>
      <w:r>
        <w:rPr>
          <w:rFonts w:ascii="Times New Roman" w:hAnsi="Times New Roman" w:eastAsia="宋体"/>
          <w:b w:val="0"/>
          <w:sz w:val="24"/>
        </w:rPr>
        <w:t>2．【明确控制范围】应核对实际推进器几何、分配矩阵秩与各方向推力限幅；将“采用六自由度动力学模型”与“哪些自由度实施独立闭环控制”分开写。若参照BlueROV2 Heavy，需要说明其常见平移/艏向操纵与横滚/俯仰稳定方式，避免用“六自由度轨迹跟踪”掩盖执行能力边界。</w:t>
      </w:r>
    </w:p>
    <w:p>
      <w:pPr>
        <w:ind w:firstLine="482"/>
      </w:pPr>
      <w:r>
        <w:rPr>
          <w:rFonts w:ascii="Times New Roman" w:hAnsi="Times New Roman" w:eastAsia="宋体"/>
          <w:b w:val="0"/>
          <w:sz w:val="24"/>
        </w:rPr>
        <w:t>3．【方案章应补足的证据】在“主要研究内容/研究方案”明确基准控制方案、对照工况（悬停、扰动、低速轨迹及多轴联动）、评价指标（误差、推力饱和/分配残差、单周期耗时、求解成功率/闭环稳定性）、PX4版本与部署方式，并与工作进度表对应。这里是实验设计要求，不应全部塞进第2部分。</w:t>
      </w:r>
    </w:p>
    <w:p>
      <w:pPr>
        <w:ind w:firstLine="482"/>
      </w:pPr>
      <w:r>
        <w:rPr>
          <w:rFonts w:ascii="Times New Roman" w:hAnsi="Times New Roman" w:eastAsia="宋体"/>
          <w:b w:val="0"/>
          <w:sz w:val="24"/>
        </w:rPr>
        <w:t>4．【参考文献的相关性】原稿参考文献共列[1]—[48]，其中[14]、[22]、[26]—[28]、[32]—[36]和[44]在当前正文中未被引用。建议据实际正文删去无关条目或补入确有评价价值的相关证据，再按出现顺序统一编号。尤其应核查明显偏离水下控制主题的航空/通用机器人论文是否有必要保留。</w:t>
      </w:r>
    </w:p>
    <w:p>
      <w:pPr>
        <w:ind w:firstLine="482"/>
      </w:pPr>
      <w:r>
        <w:rPr>
          <w:rFonts w:ascii="Times New Roman" w:hAnsi="Times New Roman" w:eastAsia="宋体"/>
          <w:b w:val="0"/>
          <w:sz w:val="24"/>
        </w:rPr>
        <w:t>5．【确定的书目信息错误】原稿[42]将2025年IROS会议地点写为“Abu Dhabi”，与IEEE Xplore所示“Hangzhou, China”不符。IEEE正式记录还给出DOI 10.1109/IROS60139.2025.11246250，会议论文页码1542—1549。由于本次按要求仅修订第2部分，未直接改动参考文献项；定稿时应更正。</w:t>
      </w:r>
    </w:p>
    <w:p>
      <w:pPr>
        <w:ind w:firstLine="482"/>
      </w:pPr>
      <w:r>
        <w:rPr>
          <w:rFonts w:ascii="Times New Roman" w:hAnsi="Times New Roman" w:eastAsia="宋体"/>
          <w:b w:val="0"/>
          <w:sz w:val="24"/>
        </w:rPr>
        <w:t>6．【版本与格式】原报告沿用同济模板：A4、正文宋体小四/英文Times New Roman、1.5倍行距、段前段后0.5行、首行缩进两字符，一级章节与二级标题使用黑体；本次保留原文封面、其他章节、参考文献和审核意见，不向模板内插入评估说明。官方网页采用可变化的“main”版本地址，定稿需记录实际用于试验的PX4固件版本和文档访问日期。</w:t>
      </w:r>
    </w:p>
    <w:p>
      <w:pPr>
        <w:keepNext/>
        <w:spacing w:before="200" w:after="80"/>
        <w:ind w:firstLine="0"/>
      </w:pPr>
      <w:r>
        <w:rPr>
          <w:rFonts w:ascii="Times New Roman" w:hAnsi="Times New Roman" w:eastAsia="黑体"/>
          <w:b/>
          <w:sz w:val="24"/>
        </w:rPr>
        <w:t>六、如何核对修订稿</w:t>
      </w:r>
    </w:p>
    <w:p>
      <w:pPr>
        <w:ind w:firstLine="482"/>
      </w:pPr>
      <w:r>
        <w:rPr>
          <w:rFonts w:ascii="Times New Roman" w:hAnsi="Times New Roman" w:eastAsia="宋体"/>
          <w:b w:val="0"/>
          <w:sz w:val="24"/>
        </w:rPr>
        <w:t>“PX4_研究现状_修改对照稿_保留模板.docx”：在原报告第2部分直接修改，黄色高亮表示新增或改写的文字，删除线表示被删去的原文字；未带标记的是沿用原文。由于删除内容仍可见，对照稿的第2部分篇幅可能多于正式提交稿。</w:t>
      </w:r>
    </w:p>
    <w:p>
      <w:pPr>
        <w:ind w:firstLine="482"/>
      </w:pPr>
      <w:r>
        <w:rPr>
          <w:rFonts w:ascii="Times New Roman" w:hAnsi="Times New Roman" w:eastAsia="宋体"/>
          <w:b w:val="0"/>
          <w:sz w:val="24"/>
        </w:rPr>
        <w:t>“PX4_研究现状_修订净稿_保留模板.docx”：仅保留修订后的第2部分，不显示删除文字和黄色标记；用于检查段落衔接与通读。其他章节不因本次修改而自动完成或定稿。</w:t>
      </w:r>
    </w:p>
    <w:p>
      <w:pPr>
        <w:ind w:firstLine="482"/>
      </w:pPr>
      <w:r>
        <w:rPr>
          <w:rFonts w:ascii="Times New Roman" w:hAnsi="Times New Roman" w:eastAsia="宋体"/>
          <w:b w:val="0"/>
          <w:sz w:val="24"/>
        </w:rPr>
        <w:t>核对资料：PX4官方UUV、BlueROV2、Control Allocation及Offboard文档[4][46]—[48]；IEEE论文[42]，DOI：10.1109/IROS60139.2025.11246250。</w:t>
      </w:r>
    </w:p>
    <w:sectPr w:rsidR="00FC693F" w:rsidRPr="0006063C" w:rsidSect="00034616">
      <w:pgSz w:w="11907" w:h="16840"/>
      <w:pgMar w:top="1304" w:right="1797" w:bottom="567" w:left="1797" w:header="425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120" w:after="120"/>
      <w:ind w:firstLine="482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