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“研究现状和发展趋势”部分评估及修改说明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评估对象：《基于PX4的水下航行器模型控制方法研究》开题报告第2节。比较材料为另两份开题报告（振动碾压机器人、混合式双轮足机器人）及学校提供的空白模板；对涉及PX4当前功能和部分代表性论文的表述，另核对了官方文档与论文出处。</w:t>
      </w: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一、该节应当承担的作用与相邻部分的分工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本节不是“课题背景”的重复，也不是“研究方案”的提前展示，而是以可核查文献为依据回答：相关问题已经研究到什么程度、主要路线怎样、何处存在有条件的局限、技术向何处发展，以及为什么目标八推进器航行器仍值得研究。其任务是为选题建立学术和工程上的论证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</w:trPr>
        <w:tc>
          <w:tcPr>
            <w:tcW w:type="dxa" w:w="1928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章节</w:t>
            </w:r>
          </w:p>
        </w:tc>
        <w:tc>
          <w:tcPr>
            <w:tcW w:type="dxa" w:w="3231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应回答的问题</w:t>
            </w:r>
          </w:p>
        </w:tc>
        <w:tc>
          <w:tcPr>
            <w:tcW w:type="dxa" w:w="3061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与第2节的边界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一、1 课题来源及目的意义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为什么值得做；工程场景和目标是什么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只须界定对象、需求与拟解决矛盾，不详细展开文献优劣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一、2 研究现状和趋势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别人做过什么；各路线解决了什么、未解决什么；发展方向及研究空缺是什么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以“证据—比较—局限—趋势—问题定位”为主，不展开个人实施步骤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二、1 主要研究内容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本课题具体研究什么，形成何种目标与成果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将问题定位转化为明确任务、成果和评价指标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二、2 研究方案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如何建模、如何优化、如何接入PX4、如何验证及可行性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在此给出流程、参数、接口、实验设计，而不在综述中做技术路线图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二、3 工作进度 / 三、参考文献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何时完成 / 证据出自何处</w:t>
            </w:r>
          </w:p>
        </w:tc>
        <w:tc>
          <w:tcPr>
            <w:tcW w:type="dxa" w:w="3061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进度与研究内容一一对应，文献引用与论断可追溯</w:t>
            </w:r>
          </w:p>
        </w:tc>
      </w:tr>
    </w:tbl>
    <w:p>
      <w:pPr>
        <w:spacing w:after="0"/>
      </w:pP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推荐段落组织：“应用需求引入—动力学建模与辨识—受约束运动控制及推力分配—PX4适配与闭环验证—跨领域综合评述与问题定位”。各技术节内部均应按“问题→代表性方法及证据→方法比较→适用边界及趋势”推进。</w:t>
      </w: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二、与另外两份开题报告的对比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</w:trPr>
        <w:tc>
          <w:tcPr>
            <w:tcW w:type="dxa" w:w="1814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稿件</w:t>
            </w:r>
          </w:p>
        </w:tc>
        <w:tc>
          <w:tcPr>
            <w:tcW w:type="dxa" w:w="3317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可借鉴之处</w:t>
            </w:r>
          </w:p>
        </w:tc>
        <w:tc>
          <w:tcPr>
            <w:tcW w:type="dxa" w:w="3090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不宜照搬的不足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振动碾压机器人（郑祺耀）</w:t>
            </w:r>
          </w:p>
        </w:tc>
        <w:tc>
          <w:tcPr>
            <w:tcW w:type="dxa" w:w="33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沿“路径跟踪→侧滑感知→特定对象缺口”推进，2.2直接承接2.1的模型问题，综述末尾能回到课题对象。</w:t>
            </w:r>
          </w:p>
        </w:tc>
        <w:tc>
          <w:tcPr>
            <w:tcW w:type="dxa" w:w="3090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第1.2.2节已经写入“本研究主要采用SVR”等个人方案，综述与研究方案边界不够清楚；部分段落重复问题背景。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混合式双轮足机器人（杨佳轩）</w:t>
            </w:r>
          </w:p>
        </w:tc>
        <w:tc>
          <w:tcPr>
            <w:tcW w:type="dxa" w:w="33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按照串联、并联、混合式构型分类，用具体代表作品支撑比较；另设控制策略研究现状。</w:t>
            </w:r>
          </w:p>
        </w:tc>
        <w:tc>
          <w:tcPr>
            <w:tcW w:type="dxa" w:w="3090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实例介绍偏“项目清单”，串并联和控制两部分的归纳力度不均；缺少针对轻量级控制问题的统一研究缺口。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PX4稿（当前）</w:t>
            </w:r>
          </w:p>
        </w:tc>
        <w:tc>
          <w:tcPr>
            <w:tcW w:type="dxa" w:w="33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“模型—控制及分配—飞控验证”三条主线覆盖了标题的重要组成，已有跨领域综合评述。</w:t>
            </w:r>
          </w:p>
        </w:tc>
        <w:tc>
          <w:tcPr>
            <w:tcW w:type="dxa" w:w="3090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堆叠过多旁支论文，比较和趋势不够集中；末尾大量重复个人技术路线；若干平台能力表述过满，且部分参考文献并非水下研究。</w:t>
            </w:r>
          </w:p>
        </w:tc>
      </w:tr>
    </w:tbl>
    <w:p>
      <w:pPr>
        <w:spacing w:after="0"/>
      </w:pP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三、逐节评估：问题、修改及原因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</w:trPr>
        <w:tc>
          <w:tcPr>
            <w:tcW w:type="dxa" w:w="1417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位置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主要问题（含原文例子）</w:t>
            </w:r>
          </w:p>
        </w:tc>
        <w:tc>
          <w:tcPr>
            <w:tcW w:type="dxa" w:w="3685"/>
            <w:vAlign w:val="center"/>
            <w:shd w:fill="F2F2F2"/>
          </w:tcPr>
          <w:p>
            <w:pPr>
              <w:spacing w:line="276" w:lineRule="auto" w:after="80" w:before="8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修改原则与原因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导语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“核心维度、瓶颈痛点、物理与数学基石”等空泛词偏多；三个维度展开不够聚焦。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用三个可检验的工程科学问题构成导语；理顺“模型预测—推力约束—飞控闭环”问题链。</w:t>
            </w:r>
          </w:p>
        </w:tc>
      </w:tr>
      <w:tr>
        <w:tc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2.1 机理建模</w:t>
            </w:r>
          </w:p>
        </w:tc>
        <w:tc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构型分类割裂；缺乏对紧凑型开架式已有基准文献的承接，容易造成“紧凑型航行器无参数参考”的误解。</w:t>
            </w:r>
          </w:p>
        </w:tc>
        <w:tc>
          <w:p>
            <w:pPr>
              <w:spacing w:line="288" w:lineRule="auto" w:before="0" w:after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明确八推进器属于紧凑型开架式构型；主动结合已有BlueROV2高保真基准[45]，将研究难点定位为全阶仿真模型向板载MPC轻量化控制导向模型的转化。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2.1 模型辨识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[14]实际为机械臂动量辨识；[16]—[18]为通用数据驱动方法，原文容易让读者误以为已在水下场景验证。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区别“领域内验证”和“可借鉴方法”，不让间接文献承担直接效果论证；趋势落在模型精度与计算量权衡。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2.2 控制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“高精度、无超调”“最具前景”“常达数十甚至数百毫秒”等无条件判断过强；无人机、赛车研究掺入主线。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保留水下MPC及鲁棒控制代表成果；只说明方法条件下的优劣，并强调自由度、算力平台差异，避免未经测试的实时性数字。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2.2 推力分配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主要介绍伪逆/QP各自优势，但MPC输出与可实现合力范围之间的逻辑联系在末尾才出现。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直接建立“控制器要求的合力/力矩→推进器约束→实际可实现性”链条，这是选择受约束MPC的核心论据。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2.3 PX4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“直接沿用空中四级PID”“缺乏标准化接口”“ArduSub扩展受限”等过宽/可能过时；[45]是Simulink模型却与PX4/Gazebo混写。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依据PX4官方文档更新已有水下模式、Control Allocator和Offboard能力；分清控制器软件接口与独立的BlueROV2仿真模型。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2.4 综合评述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对前面三段局限重复总结，之后又列出三项具体实施任务、试验计划，越界进入第二部分。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 w:before="80" w:after="80"/>
            </w:pPr>
            <w:r>
              <w:rPr>
                <w:rFonts w:ascii="Times New Roman" w:hAnsi="Times New Roman" w:eastAsia="宋体"/>
                <w:b w:val="0"/>
                <w:sz w:val="20"/>
              </w:rPr>
              <w:t>仅保留三项相互关联的研究问题及一句问题定位，后续算法形式、数据、接口和验证指标留给“方案介绍”。</w:t>
            </w:r>
          </w:p>
        </w:tc>
      </w:tr>
    </w:tbl>
    <w:p>
      <w:pPr>
        <w:spacing w:after="0"/>
      </w:pP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四、重要事实核查与引用处理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PX4官方当前资料：UUV仍标注为实验性，但BlueROV2 Heavy已有多种控制模式；Control Allocator负责控制需求到执行器的映射；Offboard存在控制权限、设定值和失联处理规定。这些事实不足以推断MPC已经集成，也不支持“原生水下系统只能沿用空中多旋翼全部控制链路”的笼统结论。详见修订后新增参考文献[46]—[48]及原[4]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sz w:val="24"/>
        </w:rPr>
        <w:t>水下MPC代表成果[30]是在特定4自由度实验平台上验证的受约束控制，[31]则面向欠驱动水下航行器；不应直接外推到六自由度八推进器。推力容错文献[42]主要给出数值研究，不能写成已完成实机保障。文献[45]明确是MATLAB/Simulink的BlueROV2仿真模型，并非PX4—Gazebo联调验证。此外，针对紧凑型开架式航行器的已有参考：国际上针对BlueROV2已有成熟的动力学仿真基准[45]及水动力测算成果。本课题面对的并非缺乏机理参数参考，而是该类全阶高保真模型计算复杂度高，无法直接满足板载在线预测控制的毫秒级求解需求，必须提炼兼顾主导水动力项与在线计算开销的控制导向模型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参考文献[19]的2026年论文信息能够核对，但对象是仿生水下机器人，应表述为“相关应用潜力”而不是能直接代表开架式八推进器ROV。原[14]、[26]、[27]、[32]—[36]含机械臂、扑翼飞行器、无人机、赛车和通用安全学习成果；保留在参考文献清单并非必然错误，但在本节若引用，必须注明是跨领域方法借鉴而非水下验证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为避免打乱原有[1]—[45]编号，修改稿在文末增加PX4官方文献[46]—[48]。正式提交前建议整篇完成后检查未在正文使用的文献，并统一整理参考文献著录格式；本次不擅自改动第一部分及尚未完成的第二部分引用序号。</w:t>
      </w: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五、与整份报告的一致性及需要后续补写的部分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原稿“一、1”已经明确研究对象、六自由度模型、推进器推力约束MPC及PX4闭环验证，所以修改后的“一、2”只为这些方向建立文献依据，不再承诺额外开展“全模型库比较、数据驱动模型训练、两个接口方案完整对比”等扩大化任务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需要特别注意：原稿“二、毕业论文方案介绍”中的“主要研究内容”和“研究方案”仍为“待后续阶段撰写”；而进度表第四阶段只提到“动力学模型前馈补偿、力矩优先分配”，没有清楚写出核心MPC设计与比较验证。建议随后让第二部分明确MPC优化变量、约束作用层、控制分配接口、对比基线、运行周期和验证工况，再按任务修改进度表。仅修复综述不能代替这一全篇闭环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另需厘清“近壁抗扰”是应用背景还是实际验证工况。如目前仅能完成一般水流扰动SITL测试，应在研究方案中限定工况范围，不在综述中预设已经具备真实近壁流场测试条件。</w:t>
      </w: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六、修订稿标识和模板处理说明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对照版沿用原PX4开题报告封面、章节、进度表、参考文献和审批栏。第2节中被替换或删去的原段落加删除线，其后的新段落以黄色底纹标注；完全删除的三个“具体研究切入点”仅保留删除线。净稿去除删除文本与标黄，仅保留修订正文。新增[46]—[48]在对照版标黄，在净稿按原参考文献格式列出。</w:t>
      </w:r>
    </w:p>
    <w:p>
      <w:pPr>
        <w:spacing w:line="360" w:lineRule="auto" w:before="60" w:after="60"/>
        <w:ind w:firstLine="482"/>
      </w:pPr>
      <w:r>
        <w:rPr>
          <w:rFonts w:ascii="Times New Roman" w:hAnsi="Times New Roman" w:eastAsia="宋体"/>
          <w:b w:val="0"/>
          <w:sz w:val="24"/>
        </w:rPr>
        <w:t>正文执行模板指定的宋体小四、英文Times New Roman、1.5倍行距、首行缩进约2字符；本节内“2.1—2.4”子标题采用小四号黑体并顶格，与模板的分级标题规范协调。原稿其他部分不作整体重排，以免改变非本次评估范围的内容。</w:t>
      </w:r>
    </w:p>
    <w:p>
      <w:pPr>
        <w:spacing w:before="200" w:after="100"/>
        <w:ind w:firstLine="0"/>
      </w:pPr>
      <w:r>
        <w:rPr>
          <w:rFonts w:ascii="Times New Roman" w:hAnsi="Times New Roman" w:eastAsia="黑体"/>
          <w:b/>
          <w:sz w:val="24"/>
        </w:rPr>
        <w:t>核对链接（便于复查）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PX4 UUV：https://docs.px4.io/main/en/frames_sub/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PX4 BlueROV2：https://docs.px4.io/main/en/frames_sub/bluerov2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PX4 Control Allocation：https://docs.px4.io/main/en/concept/control_allocation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PX4 Offboard：https://docs.px4.io/main/en/flight_modes/offboard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von Benzon等（2022）：https://www.mdpi.com/2077-1312/10/12/1898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Heshmati-Alamdari等（2018）：https://doi.org/10.1109/ICRA.2018.8460918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Liu等（2026）：https://doi.org/10.1109/LRA.2026.3682620</w:t>
      </w:r>
    </w:p>
    <w:p>
      <w:pPr>
        <w:spacing w:before="20" w:after="20"/>
        <w:ind w:left="113"/>
      </w:pPr>
      <w:r>
        <w:rPr>
          <w:rFonts w:ascii="Times New Roman" w:hAnsi="Times New Roman" w:eastAsia="宋体"/>
          <w:b w:val="0"/>
          <w:sz w:val="19"/>
        </w:rPr>
        <w:t>Li等（2025）：https://doi.org/10.1109/IROS60139.2025.11246250</w:t>
      </w:r>
    </w:p>
    <w:sectPr w:rsidR="00FC693F" w:rsidRPr="0006063C" w:rsidSect="00034616">
      <w:pgSz w:w="11906" w:h="16838"/>
      <w:pgMar w:top="1304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PX4开题报告第2节的评估、对照与逐项修改说明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