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Times New Roman" w:hAnsi="Times New Roman"/>
          <w:rFonts w:ascii="Times New Roman" w:hAnsi="Times New Roman" w:eastAsia="宋体"/>
        </w:rPr>
        <w:t>其中，</w:t>
      </w:r>
      <m:oMath xmlns:mml="http://www.w3.org/1998/Math/MathML">
        <m:r>
          <m:t>M=</m:t>
        </m:r>
        <m:sSub>
          <m:e>
            <m:r>
              <m:t>M</m:t>
            </m:r>
          </m:e>
          <m:sub>
            <m:r>
              <m:t>RB</m:t>
            </m:r>
          </m:sub>
        </m:sSub>
        <m:r>
          <m:t>+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t>∈</m:t>
        </m:r>
        <m:sSup>
          <m:e>
            <m:r>
              <m:t>ℝ</m:t>
            </m:r>
          </m:e>
          <m:sup>
            <m:r>
              <m:t>6×6</m:t>
            </m:r>
          </m:sup>
        </m:sSup>
      </m:oMath>
      <w:r>
        <w:rPr>
          <w:rFonts w:ascii="Times New Roman" w:hAnsi="Times New Roman"/>
          <w:rFonts w:ascii="Times New Roman" w:hAnsi="Times New Roman" w:eastAsia="宋体"/>
        </w:rPr>
        <w:t xml:space="preserve"> 为含附加质量 </w:t>
      </w:r>
      <m:oMath xmlns:mml="http://www.w3.org/1998/Math/MathML"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ascii="Times New Roman" w:hAnsi="Times New Roman"/>
          <w:rFonts w:ascii="Times New Roman" w:hAnsi="Times New Roman" w:eastAsia="宋体"/>
        </w:rPr>
        <w:t xml:space="preserve"> 的系统惯性矩阵，严卫生等</w:t>
      </w:r>
      <w:r>
        <w:rPr>
          <w:rFonts w:ascii="Times New Roman" w:hAnsi="Times New Roman"/>
          <w:vertAlign w:val="superscript"/>
        </w:rPr>
        <w:t>[6]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