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w:t>
      </w:r>
      <w:r>
        <w:rPr>
          <w:rFonts w:ascii="Times New Roman" w:hAnsi="Times New Roman" w:cs="Times New Roman" w:eastAsia="宋体"/>
          <w:b w:val="0"/>
          <w:i w:val="0"/>
          <w:color w:val="000000"/>
          <w:sz w:val="24"/>
          <w:highlight w:val="yellow"/>
        </w:rPr>
        <w:t>实验平台方案及相关结构数据开展研究。</w:t>
      </w:r>
      <w:r>
        <w:rPr>
          <w:rFonts w:ascii="Times New Roman" w:hAnsi="Times New Roman" w:cs="Times New Roman" w:eastAsia="宋体"/>
          <w:b w:val="0"/>
          <w:i w:val="0"/>
          <w:color w:val="000000"/>
          <w:sz w:val="24"/>
          <w:highlight w:val="yellow"/>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性能，而过于依赖单一解析机理模型的控制方法又常因水动力参数获取困难而难以在工程中有效落地。本课题坚持“机理建模与试验辨识相结合、模型信息与状态反馈相结合”的研究理念，</w:t>
      </w:r>
      <w:r>
        <w:rPr>
          <w:rFonts w:ascii="Times New Roman" w:hAnsi="Times New Roman" w:cs="Times New Roman" w:eastAsia="宋体"/>
          <w:b w:val="0"/>
          <w:i w:val="0"/>
          <w:color w:val="000000"/>
          <w:sz w:val="24"/>
        </w:rPr>
        <w:t xml:space="preserve">通过机理推导明确六自由度动力学方程的耦合物理结构，借助系统辨识修正关键未知参数，获得经验证的基准动力学模型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（以下简称标称模型）。</w:t>
      </w:r>
      <w:r>
        <w:rPr>
          <w:rFonts w:ascii="Times New Roman" w:hAnsi="Times New Roman" w:cs="Times New Roman" w:eastAsia="宋体"/>
          <w:b w:val="0"/>
          <w:i w:val="0"/>
          <w:color w:val="000000"/>
          <w:sz w:val="24"/>
        </w:rPr>
        <w:t>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w:t>
      </w:r>
      <w:r>
        <w:rPr>
          <w:rFonts w:ascii="Times New Roman" w:hAnsi="Times New Roman" w:cs="Times New Roman" w:eastAsia="宋体"/>
          <w:b w:val="0"/>
          <w:i w:val="0"/>
          <w:color w:val="000000"/>
          <w:sz w:val="24"/>
        </w:rPr>
        <w:t>旨在规范</w:t>
      </w:r>
      <w:r>
        <w:rPr>
          <w:rFonts w:ascii="Times New Roman" w:hAnsi="Times New Roman" w:cs="Times New Roman" w:eastAsia="宋体"/>
          <w:b w:val="0"/>
          <w:i w:val="0"/>
          <w:color w:val="000000"/>
          <w:sz w:val="24"/>
        </w:rPr>
        <w:t>状态估计、期望力矩输出及各推进器指令的标准数据接口</w:t>
      </w:r>
      <w:r>
        <w:rPr>
          <w:rFonts w:ascii="Times New Roman" w:hAnsi="Times New Roman" w:cs="Times New Roman" w:eastAsia="宋体"/>
          <w:b w:val="0"/>
          <w:i w:val="0"/>
          <w:color w:val="000000"/>
          <w:sz w:val="24"/>
        </w:rPr>
        <w:t>，将有助于为后续控制算法向机载嵌入式硬件部署开展实物测试提供可靠的软件工程基础</w:t>
      </w:r>
      <w:r>
        <w:rPr>
          <w:rFonts w:ascii="Times New Roman" w:hAnsi="Times New Roman" w:cs="Times New Roman" w:eastAsia="宋体"/>
          <w:b w:val="0"/>
          <w:i w:val="0"/>
          <w:color w:val="000000"/>
          <w:sz w:val="24"/>
        </w:rPr>
        <w:t>。</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存在明显差异。此类复杂构型航行器表面形态不规则且水流绕流结构复杂，各运动自由度间易产生显著的水动力耦合。</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的动力学建模与水动力参数辨识展开了系统研究，指出了</w:t>
      </w:r>
      <w:r>
        <w:rPr>
          <w:rFonts w:ascii="Times New Roman" w:hAnsi="Times New Roman" w:cs="Times New Roman" w:eastAsia="宋体"/>
          <w:b w:val="0"/>
          <w:i w:val="0"/>
          <w:color w:val="000000"/>
          <w:sz w:val="24"/>
        </w:rPr>
        <w:t>附加质量与阻尼矩阵中非对角耦合项</w:t>
      </w:r>
      <w:r>
        <w:rPr>
          <w:rFonts w:ascii="Times New Roman" w:hAnsi="Times New Roman" w:cs="Times New Roman" w:eastAsia="宋体"/>
          <w:b w:val="0"/>
          <w:i w:val="0"/>
          <w:color w:val="000000"/>
          <w:sz w:val="24"/>
        </w:rPr>
        <w:t>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w:t>
      </w:r>
      <w:r>
        <w:rPr>
          <w:rFonts w:ascii="Times New Roman" w:hAnsi="Times New Roman" w:cs="Times New Roman" w:eastAsia="宋体"/>
          <w:b w:val="0"/>
          <w:i w:val="0"/>
          <w:color w:val="000000"/>
          <w:sz w:val="24"/>
        </w:rPr>
        <w:t>非流线型多附体</w:t>
      </w:r>
      <w:r>
        <w:rPr>
          <w:rFonts w:ascii="Times New Roman" w:hAnsi="Times New Roman" w:cs="Times New Roman" w:eastAsia="宋体"/>
          <w:b w:val="0"/>
          <w:i w:val="0"/>
          <w:color w:val="000000"/>
          <w:sz w:val="24"/>
        </w:rPr>
        <w:t>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。在现代多推进器水下航行器开源物理仿真基准中，文献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w:t>
      </w:r>
      <w:r>
        <w:rPr>
          <w:rFonts w:ascii="Times New Roman" w:hAnsi="Times New Roman" w:cs="Times New Roman" w:eastAsia="宋体"/>
          <w:b w:val="0"/>
          <w:i w:val="0"/>
          <w:color w:val="000000"/>
          <w:sz w:val="24"/>
        </w:rPr>
        <w:t>八推进器便携式</w:t>
      </w:r>
      <w:r>
        <w:rPr>
          <w:rFonts w:ascii="Times New Roman" w:hAnsi="Times New Roman" w:cs="Times New Roman" w:eastAsia="宋体"/>
          <w:b w:val="0"/>
          <w:i w:val="0"/>
          <w:color w:val="000000"/>
          <w:sz w:val="24"/>
        </w:rPr>
        <w:t>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w:t>
            </w:r>
            <w:r>
              <w:rPr>
                <w:rFonts w:ascii="Times New Roman" w:hAnsi="Times New Roman" w:cs="Times New Roman" w:eastAsia="宋体"/>
                <w:b w:val="0"/>
                <w:i w:val="0"/>
                <w:color w:val="000000"/>
                <w:sz w:val="19"/>
              </w:rPr>
              <w:t>复杂构型</w:t>
            </w:r>
            <w:r>
              <w:rPr>
                <w:rFonts w:ascii="Times New Roman" w:hAnsi="Times New Roman" w:cs="Times New Roman" w:eastAsia="宋体"/>
                <w:b w:val="0"/>
                <w:i w:val="0"/>
                <w:color w:val="000000"/>
                <w:sz w:val="19"/>
              </w:rPr>
              <w:t xml:space="preserve">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highlight w:val="yellow"/>
        </w:rPr>
        <w:t>以已有八推进器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highlight w:val="yellow"/>
        </w:rPr>
        <w:t>结合已有平台推进器参数资料，建立单推进器控制输入与推力输出之间的静态映射关系并明确基本推力输出范围</w:t>
      </w:r>
      <w:r>
        <w:rPr>
          <w:rFonts w:ascii="Times New Roman" w:hAnsi="Times New Roman" w:cs="Times New Roman" w:eastAsia="宋体"/>
          <w:b w:val="0"/>
          <w:i w:val="0"/>
          <w:color w:val="000000"/>
          <w:sz w:val="24"/>
        </w:rPr>
        <w:t>，为系统辨识、控制设计与</w:t>
      </w:r>
      <w:r>
        <w:rPr>
          <w:rFonts w:ascii="Times New Roman" w:hAnsi="Times New Roman" w:cs="Times New Roman" w:eastAsia="宋体"/>
          <w:b w:val="0"/>
          <w:i w:val="0"/>
          <w:color w:val="000000"/>
          <w:sz w:val="24"/>
        </w:rPr>
        <w:t>推力分配</w:t>
      </w:r>
      <w:r>
        <w:rPr>
          <w:rFonts w:ascii="Times New Roman" w:hAnsi="Times New Roman" w:cs="Times New Roman" w:eastAsia="宋体"/>
          <w:b w:val="0"/>
          <w:i w:val="0"/>
          <w:color w:val="000000"/>
          <w:sz w:val="24"/>
        </w:rPr>
        <w:t>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highlight w:val="yellow"/>
        </w:rPr>
        <w:t>结合已有平台</w:t>
      </w:r>
      <w:r>
        <w:rPr>
          <w:rFonts w:ascii="Times New Roman" w:hAnsi="Times New Roman" w:cs="Times New Roman" w:eastAsia="宋体"/>
          <w:b w:val="0"/>
          <w:i w:val="0"/>
          <w:color w:val="000000"/>
          <w:sz w:val="24"/>
          <w:highlight w:val="yellow"/>
        </w:rPr>
        <w:t>结构与质量先验参数及特征工况（如阶跃推力或自由衰减）</w:t>
      </w:r>
      <w:r>
        <w:rPr>
          <w:rFonts w:ascii="Times New Roman" w:hAnsi="Times New Roman" w:cs="Times New Roman" w:eastAsia="宋体"/>
          <w:b w:val="0"/>
          <w:i w:val="0"/>
          <w:color w:val="000000"/>
          <w:sz w:val="24"/>
          <w:highlight w:val="yellow"/>
        </w:rPr>
        <w:t>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w:t>
      </w:r>
      <w:r>
        <w:rPr>
          <w:rFonts w:ascii="Times New Roman" w:hAnsi="Times New Roman" w:cs="Times New Roman" w:eastAsia="宋体"/>
          <w:b w:val="0"/>
          <w:i w:val="0"/>
          <w:color w:val="000000"/>
          <w:sz w:val="24"/>
        </w:rPr>
        <w:t>支持经典 PID 控制与模型补偿控制算法的多工况横向对比，</w:t>
      </w:r>
      <w:r>
        <w:rPr>
          <w:rFonts w:ascii="Times New Roman" w:hAnsi="Times New Roman" w:cs="Times New Roman" w:eastAsia="宋体"/>
          <w:b w:val="0"/>
          <w:i w:val="0"/>
          <w:color w:val="000000"/>
          <w:sz w:val="24"/>
        </w:rPr>
        <w:t>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highlight w:val="yellow"/>
        </w:rPr>
        <w:t xml:space="preserve">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，系统考虑推进器</w:t>
      </w:r>
      <w:r>
        <w:rPr>
          <w:rFonts w:ascii="Times New Roman" w:hAnsi="Times New Roman" w:cs="Times New Roman" w:eastAsia="宋体"/>
          <w:b w:val="0"/>
          <w:i w:val="0"/>
          <w:color w:val="000000"/>
          <w:sz w:val="24"/>
        </w:rPr>
        <w:t>基本</w:t>
      </w:r>
      <w:r>
        <w:rPr>
          <w:rFonts w:ascii="Times New Roman" w:hAnsi="Times New Roman" w:cs="Times New Roman" w:eastAsia="宋体"/>
          <w:b w:val="0"/>
          <w:i w:val="0"/>
          <w:color w:val="000000"/>
          <w:sz w:val="24"/>
        </w:rPr>
        <w:t>推力输出范围约束生成各推进器推力指令，量化分析控制分配误差与推力饱和情况。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w:t>
      </w:r>
      <w:r>
        <w:rPr>
          <w:rFonts w:ascii="Times New Roman" w:hAnsi="Times New Roman" w:cs="Times New Roman" w:eastAsia="宋体"/>
          <w:b w:val="0"/>
          <w:i w:val="0"/>
          <w:color w:val="000000"/>
          <w:sz w:val="24"/>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highlight w:val="yellow"/>
        </w:rPr>
        <w:t xml:space="preserve">结合已有平台推进器参数资料，建立单推进器控制输入到推力输出的静态特性映射关系，明确推进器正向与反向推力的基本输出边界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highlight w:val="yellow"/>
        </w:rPr>
        <w:t>利用平台参数资料及</w:t>
      </w:r>
      <w:r>
        <w:rPr>
          <w:rFonts w:ascii="Times New Roman" w:hAnsi="Times New Roman" w:cs="Times New Roman" w:eastAsia="宋体"/>
          <w:b w:val="0"/>
          <w:i w:val="0"/>
          <w:color w:val="000000"/>
          <w:sz w:val="24"/>
          <w:highlight w:val="yellow"/>
        </w:rPr>
        <w:t>特征工况</w:t>
      </w:r>
      <w:r>
        <w:rPr>
          <w:rFonts w:ascii="Times New Roman" w:hAnsi="Times New Roman" w:cs="Times New Roman" w:eastAsia="宋体"/>
          <w:b w:val="0"/>
          <w:i w:val="0"/>
          <w:color w:val="000000"/>
          <w:sz w:val="24"/>
          <w:highlight w:val="yellow"/>
        </w:rPr>
        <w:t xml:space="preserve">动态响应数据对未知参数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w:t>
      </w:r>
      <w:r>
        <w:rPr>
          <w:rFonts w:ascii="Times New Roman" w:hAnsi="Times New Roman" w:cs="Times New Roman" w:eastAsia="宋体"/>
          <w:b w:val="0"/>
          <w:i w:val="0"/>
          <w:color w:val="000000"/>
          <w:sz w:val="24"/>
        </w:rPr>
        <w:t>经典 PID、</w:t>
      </w:r>
      <w:r>
        <w:rPr>
          <w:rFonts w:ascii="Times New Roman" w:hAnsi="Times New Roman" w:cs="Times New Roman" w:eastAsia="宋体"/>
          <w:b w:val="0"/>
          <w:i w:val="0"/>
          <w:color w:val="000000"/>
          <w:sz w:val="24"/>
        </w:rPr>
        <w:t>模型前馈补偿、反馈线性化或增量动态逆</w:t>
      </w:r>
      <w:r>
        <w:rPr>
          <w:rFonts w:ascii="Times New Roman" w:hAnsi="Times New Roman" w:cs="Times New Roman" w:eastAsia="宋体"/>
          <w:b w:val="0"/>
          <w:i w:val="0"/>
          <w:color w:val="000000"/>
          <w:sz w:val="24"/>
        </w:rPr>
        <w:t>控制</w:t>
      </w:r>
      <w:r>
        <w:rPr>
          <w:rFonts w:ascii="Times New Roman" w:hAnsi="Times New Roman" w:cs="Times New Roman" w:eastAsia="宋体"/>
          <w:b w:val="0"/>
          <w:i w:val="0"/>
          <w:color w:val="000000"/>
          <w:sz w:val="24"/>
        </w:rPr>
        <w:t>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