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0C7099">
      <w:pPr>
        <w:pStyle w:val="2"/>
        <w:keepNext w:val="0"/>
        <w:keepLines w:val="0"/>
        <w:widowControl/>
        <w:suppressLineNumbers w:val="0"/>
        <w:spacing w:before="0" w:beforeAutospacing="1" w:after="0" w:afterAutospacing="1"/>
        <w:ind w:left="0" w:right="0"/>
      </w:pPr>
      <w:r>
        <w:t>随着海洋强国战略与现代基础设施建设的深入推进，跨海桥隧、海上风电桩基、深水油气管网与大型水利枢纽等水下工程设施规模与日俱增。受水流长期冲刷、介质侵蚀与交变载荷作用，针对此类高价值结构开展常态化病害探查与安全维保具有明确的现实工程需求。围绕恶劣危险环境下的无人化作业替代，国家在特种机器人领域作出了重要战略部署，《“十四五”机器人产业发展规划》[1]^{[1]}[1]明确指出要突破恶劣危险环境特种机器人关键技术，工信部等十七部门联合印发的《“机器人+”应用行动实施方案》[2]^{[2]}[2]亦强调应深化水下等复杂作业环境下的机器人规模化应用。然而在实际作业中，传统人工潜水受制于深水高压、湍流暗涌与生理安全极限，作业窗口狭窄且安全风险极高；而传统重型工作级遥控航行器（Work-class ROV）自重达数吨，高度依赖大型作业母船与专用收放系统，动员成本高昂且外形庞大，难以进入密集桩基、狭小涵洞等受限空间。因此，发展兼具高机动性与便捷布放能力的便携式微小型水下航行器，成为突破狭小受限空间精细检测瓶颈、实现高危水下作业无人化替代的重要装备支撑。</w:t>
      </w:r>
    </w:p>
    <w:p w14:paraId="69C4848A">
      <w:pPr>
        <w:pStyle w:val="2"/>
        <w:keepNext w:val="0"/>
        <w:keepLines w:val="0"/>
        <w:widowControl/>
        <w:suppressLineNumbers w:val="0"/>
        <w:spacing w:before="0" w:beforeAutospacing="1" w:after="0" w:afterAutospacing="1"/>
        <w:ind w:left="0" w:right="0"/>
      </w:pPr>
      <w:r>
        <w:t>便携式微小型水下航行器实现受限空间自主作业的核心，在于稳定可靠的近壁面悬停与低速精细机动控制。与常规陆空移动机器人不同，水下航行器运行于高密度、高黏性的非结构化流体介质中，面临着显著的水动力附加质量效应、二次非线性流体阻尼耗散以及六自由度运动强耦合[3]^{[3]}[3]。在靠近桥墩、风电桩基或大坝涵洞等结构物作业时，局部强剪切流场与近壁面吸附效应极易诱发机体位姿漂移与动态失稳。为抵抗外部流扰并满足狭窄空间内的多维机动作业要求，执行机构的推进布局至关重要。常规四推进器构型由于缺失横荡控制自由度，遭遇侧向水流冲击时无法侧向抗流平移，必须强行转动航向正对来流，导致机体难以维持对作业目标的既定位姿锁定与侧向机动作业能力[4]^{[4]}[4]；而六推进器构型虽具备平面全向移动能力，但其横滚与俯仰自由度通常呈欠驱动状态，高度依赖重浮力力偶被动自稳，在水下复杂涡流扰动下被动姿态恢复能力薄弱，且无法主动改变倾角进行贴合巡检[5]^{[5]}[5]。相比之下，采用空间对称与矢量倾斜布置的八推进器过驱动构型，具备空间六自由度全解耦独立驱动能力，使航行器能够脱离水平姿态限制，在任意倾斜姿态下实现全向平移机动与空间定点悬停[6]^{[6]}[6]，成为微小型作业装备抵御多维流扰与完成复杂精细作业的理想构型。然而，过驱动构型在提升控制自由度的同时，也对运动控制算法与推力分配机制提出了严苛挑战。受限于微小型航行器的体积与能耗约束，推进器输出推力有限，在遭遇突发水流冲击或执行大机动调整时极易触及推力幅值的物理上限。此时，若仅对各推进器指令采取独立的幅值饱和截断，将直接破坏推力矢量间的代数几何配比，导致空间广义合成力矩的方向发生严重偏转与畸变[7]^{[7]}[7]，不仅无法有效补偿流扰，反而会诱发剧烈的姿态失控与翻滚发散，导致航行器丧失作业能力乃至引发机体碰撞损毁。</w:t>
      </w:r>
    </w:p>
    <w:p w14:paraId="4706C5F4">
      <w:pPr>
        <w:pStyle w:val="2"/>
        <w:keepNext w:val="0"/>
        <w:keepLines w:val="0"/>
        <w:widowControl/>
        <w:suppressLineNumbers w:val="0"/>
        <w:spacing w:before="0" w:beforeAutospacing="1" w:after="0" w:afterAutospacing="1"/>
        <w:ind w:left="0" w:right="0"/>
      </w:pPr>
      <w:bookmarkStart w:id="0" w:name="_GoBack"/>
      <w:r>
        <w:t>针对上述水动力非线性强耦合与推力饱和诱发力矩畸变的两大核心矛盾，并兼顾微小型航行器机载微控制器算力约束与底层高频实时控制的时效性需求，本课题旨在基于全球广泛应用的开源机器人飞控系统 PX4[8]^{[8]}[8]，充分发挥其硬实时多任务调度架构与高频内环控制优势，开展面向八推进器便携式水下航行器的模型控制方法研究。具体而言，本研究拟建立包含刚体动力学、附加质量与二次非线性阻尼的六自由度机理模型，通过水池时域测试辨识提取关键水动力参数；在此基础上，构建显式前馈解耦补偿算法[9]^{[9]}[9]，结合高频状态反馈回路，有效补偿非线性流阻并抑制轴间强耦合动态；针对大机动与强流扰下的推力饱和问题，采用力矩优先控制分配算法[7]^{[7]}[7]，在推进器幅值超限时严格保全姿态合成力矩的方向配比，从而消除翻滚发散隐患。最后，通过软件在环（Software-in-the-Loop, SITL）仿真与物理实验，对所提控制方案开展系统的闭环验证。本研究旨在为八推进器紧凑型航行器在复杂流扰下的高精度作业提供稳定可靠的闭环控制解决方案，并为多执行器过驱动系统的抗饱和控制提供工程实践参考，具有明确的理论意义与工程应用价值。</w:t>
      </w:r>
    </w:p>
    <w:p w14:paraId="154B5EC0"/>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2B57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2026-10-08T10:13:27Z</dcterms:created>
  <dc:creator>Zhangwh</dc:creator>
  <cp:lastModifiedBy>张卫恒</cp:lastModifiedBy>
  <dcterms:modified xsi:type="dcterms:W3CDTF">2026-10-08T17:21:24Z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eyJoZGlkIjoiODQ2ZDc5NWZlNjc1N2YxMjNkYmZlOWYyNzcyODc0ZDgiLCJ1c2VySWQiOiIxNjEyNDcyMTYzIn0=</vt:lpwstr>
  </property>
  <property fmtid="{D5CDD505-2E9C-101B-9397-08002B2CF9AE}" pid="4" name="ICV">
    <vt:lpwstr>95A3D05010594D259A72F194DF86A872_12</vt:lpwstr>
  </property>
</Properties>
</file>