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 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在此背景下，本课题来源于实验室在水下无人系统与智能海洋装备方向的科研实践与工程开发需求，直接依托实验室已完成构型设计的八推进器开架式（Open-frame）水下航行器（Unmanned Underwater Vehicle / Remotely Operated Vehicle，UUV/ROV）实验平台方案及相关结构数据开展研究。该平台具备八推进器空间对称与矢量倾斜布置的硬件驱动能力，但在流体环境中实现稳定可靠的闭环运动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 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（3） 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 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highlight w:val="yellow"/>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highlight w:val="yellow"/>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highlight w:val="yellow"/>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 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。在现代开架式水下航行器开源物理仿真基准中，文献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针对上述问题，结合动力学模型已知特性与实时状态反馈的现代控制方法成为水下航行器控制领域的研究重点。如图 1 所示，通用闭环控制系统主要由参考运动规划、运动控制器（包含模型前馈补偿与状态误差反馈两部分）、控制分配模块、推进器执行机构、航行器动力学模型以及状态估计模块组成。Fernandes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highlight w:val="yellow"/>
            <w:vertAlign w:val="superscript"/>
          </w:rPr>
          <w:t>[9]</w:t>
        </w:r>
      </w:hyperlink>
      <w:r>
        <w:rPr>
          <w:rFonts w:ascii="Times New Roman" w:hAnsi="Times New Roman" w:cs="Times New Roman" w:eastAsia="宋体"/>
          <w:b w:val="0"/>
          <w:i w:val="0"/>
          <w:color w:val="000000"/>
          <w:sz w:val="24"/>
          <w:highlight w:val="yellow"/>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highlight w:val="yellow"/>
            <w:vertAlign w:val="superscript"/>
          </w:rPr>
          <w:t>[10]</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（3） 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 xml:space="preserve">，而实际作用于水体的则是各推进器产生的轴向推力矢量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highlight w:val="yellow"/>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highlight w:val="yellow"/>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（4） 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最初，PX4 主要针对空中多旋翼与固定翼飞行器进行设计。凭借其模块化的控制分配架构与良好的可扩展性，近年来国内外研究团队开始将 PX4 引入水下无人航行器研究领域。Duecker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（5） 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[9]</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highlight w:val="yellow"/>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 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 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水下航行器动力学与推进器建模（对应理论模型构建基础）：</w:t>
      </w:r>
      <w:r>
        <w:rPr>
          <w:rFonts w:ascii="Times New Roman" w:hAnsi="Times New Roman" w:cs="Times New Roman" w:eastAsia="宋体"/>
          <w:b w:val="0"/>
          <w:i w:val="0"/>
          <w:color w:val="000000"/>
          <w:sz w:val="24"/>
          <w:highlight w:val="yellow"/>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系统辨识与模型验证分析（对应模型参数获取与精度核准）：</w:t>
      </w:r>
      <w:r>
        <w:rPr>
          <w:rFonts w:ascii="Times New Roman" w:hAnsi="Times New Roman" w:cs="Times New Roman" w:eastAsia="宋体"/>
          <w:b w:val="0"/>
          <w:i w:val="0"/>
          <w:color w:val="000000"/>
          <w:sz w:val="24"/>
          <w:highlight w:val="yellow"/>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模型运动控制与八推进器控制分配（对应控制算法与执行器解算）：</w:t>
      </w:r>
      <w:r>
        <w:rPr>
          <w:rFonts w:ascii="Times New Roman" w:hAnsi="Times New Roman" w:cs="Times New Roman" w:eastAsia="宋体"/>
          <w:b w:val="0"/>
          <w:i w:val="0"/>
          <w:color w:val="000000"/>
          <w:sz w:val="24"/>
          <w:highlight w:val="yellow"/>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 PX4/SITL 闭环仿真与系统验证（对应软件在环集成与多工况评价）：</w:t>
      </w:r>
      <w:r>
        <w:rPr>
          <w:rFonts w:ascii="Times New Roman" w:hAnsi="Times New Roman" w:cs="Times New Roman" w:eastAsia="宋体"/>
          <w:b w:val="0"/>
          <w:i w:val="0"/>
          <w:color w:val="000000"/>
          <w:sz w:val="24"/>
          <w:highlight w:val="yellow"/>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 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六自由度动力学与推进器建模方法：</w:t>
      </w:r>
      <w:r>
        <w:rPr>
          <w:rFonts w:ascii="Times New Roman" w:hAnsi="Times New Roman" w:cs="Times New Roman" w:eastAsia="宋体"/>
          <w:b w:val="0"/>
          <w:i w:val="0"/>
          <w:color w:val="000000"/>
          <w:sz w:val="24"/>
          <w:highlight w:val="yellow"/>
        </w:rPr>
        <w:t xml:space="preserve">如图 2 所示，建立北东地惯性坐标系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n</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与附体坐标系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，设航行器广义位置与姿态矢量为 </w:t>
      </w:r>
      <m:oMath>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 = [</m:t>
        </m:r>
        <m:r>
          <m:rPr>
            <m:sty m:val="i"/>
          </m:rPr>
          <w:rPr>
            <w:rFonts w:ascii="Cambria Math" w:hAnsi="Cambria Math" w:eastAsia="宋体"/>
            <w:sz w:val="24"/>
            <w:szCs w:val="24"/>
            <w:highlight w:val="yellow"/>
          </w:rPr>
          <m:t>x</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y</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z</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ϕ</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θ</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ψ</m:t>
        </m:r>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oMath>
      <w:r>
        <w:rPr>
          <w:rFonts w:ascii="Times New Roman" w:hAnsi="Times New Roman" w:cs="Times New Roman" w:eastAsia="宋体"/>
          <w:b w:val="0"/>
          <w:i w:val="0"/>
          <w:color w:val="000000"/>
          <w:sz w:val="24"/>
          <w:highlight w:val="yellow"/>
        </w:rPr>
        <w:t xml:space="preserve">，附体系下线速度与角速度矢量为 </w:t>
      </w:r>
      <m:oMath>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 = [</m:t>
        </m:r>
        <m:r>
          <m:rPr>
            <m:sty m:val="i"/>
          </m:rPr>
          <w:rPr>
            <w:rFonts w:ascii="Cambria Math" w:hAnsi="Cambria Math" w:eastAsia="宋体"/>
            <w:sz w:val="24"/>
            <w:szCs w:val="24"/>
            <w:highlight w:val="yellow"/>
          </w:rPr>
          <m:t>u</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v</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w</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p</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q</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r</m:t>
        </m:r>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oMath>
      <w:r>
        <w:rPr>
          <w:rFonts w:ascii="Times New Roman" w:hAnsi="Times New Roman" w:cs="Times New Roman" w:eastAsia="宋体"/>
          <w:b w:val="0"/>
          <w:i w:val="0"/>
          <w:color w:val="000000"/>
          <w:sz w:val="24"/>
          <w:highlight w:val="yellow"/>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式中，</w:t>
      </w:r>
      <m:oMath>
        <m:r>
          <m:rPr>
            <m:sty m:val="bi"/>
          </m:rPr>
          <w:rPr>
            <w:rFonts w:ascii="Cambria Math" w:hAnsi="Cambria Math" w:eastAsia="宋体"/>
            <w:sz w:val="24"/>
            <w:szCs w:val="24"/>
            <w:highlight w:val="yellow"/>
          </w:rPr>
          <m:t>J</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为坐标转换矩阵；</w:t>
      </w:r>
      <m:oMath>
        <m:r>
          <m:rPr>
            <m:sty m:val="bi"/>
          </m:rPr>
          <w:rPr>
            <w:rFonts w:ascii="Cambria Math" w:hAnsi="Cambria Math" w:eastAsia="宋体"/>
            <w:sz w:val="24"/>
            <w:szCs w:val="24"/>
            <w:highlight w:val="yellow"/>
          </w:rPr>
          <m:t>M</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oMath>
      <w:r>
        <w:rPr>
          <w:rFonts w:ascii="Times New Roman" w:hAnsi="Times New Roman" w:cs="Times New Roman" w:eastAsia="宋体"/>
          <w:b w:val="0"/>
          <w:i w:val="0"/>
          <w:color w:val="000000"/>
          <w:sz w:val="24"/>
          <w:highlight w:val="yellow"/>
        </w:rPr>
        <w:t xml:space="preserve"> 为刚体惯性与附加质量矩阵；</w:t>
      </w:r>
      <m:oMath>
        <m:r>
          <m:rPr>
            <m:sty m:val="bi"/>
          </m:rPr>
          <w:rPr>
            <w:rFonts w:ascii="Cambria Math" w:hAnsi="Cambria Math" w:eastAsia="宋体"/>
            <w:sz w:val="24"/>
            <w:szCs w:val="24"/>
            <w:highlight w:val="yellow"/>
          </w:rPr>
          <m:t>C</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为科氏力与向心力矩阵；</w:t>
      </w:r>
      <m:oMath>
        <m:r>
          <m:rPr>
            <m:sty m:val="bi"/>
          </m:rPr>
          <w:rPr>
            <w:rFonts w:ascii="Cambria Math" w:hAnsi="Cambria Math" w:eastAsia="宋体"/>
            <w:sz w:val="24"/>
            <w:szCs w:val="24"/>
            <w:highlight w:val="yellow"/>
          </w:rPr>
          <m:t>D</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为包含线性与二次非线性项的水动力阻尼矩阵；</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为重力与浮力恢复力矩矢量；</w:t>
      </w:r>
      <m:oMath>
        <m:r>
          <m:rPr>
            <m:sty m:val="bi"/>
          </m:rPr>
          <w:rPr>
            <w:rFonts w:ascii="Cambria Math" w:hAnsi="Cambria Math" w:eastAsia="宋体"/>
            <w:sz w:val="24"/>
            <w:szCs w:val="24"/>
            <w:highlight w:val="yellow"/>
          </w:rPr>
          <m:t>τ</m:t>
        </m:r>
      </m:oMath>
      <w:r>
        <w:rPr>
          <w:rFonts w:ascii="Times New Roman" w:hAnsi="Times New Roman" w:cs="Times New Roman" w:eastAsia="宋体"/>
          <w:b w:val="0"/>
          <w:i w:val="0"/>
          <w:color w:val="000000"/>
          <w:sz w:val="24"/>
          <w:highlight w:val="yellow"/>
        </w:rPr>
        <w:t xml:space="preserve"> 为推进器产生的广义控制力与力矩矢量；</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d</m:t>
            </m:r>
          </m:sub>
        </m:sSub>
      </m:oMath>
      <w:r>
        <w:rPr>
          <w:rFonts w:ascii="Times New Roman" w:hAnsi="Times New Roman" w:cs="Times New Roman" w:eastAsia="宋体"/>
          <w:b w:val="0"/>
          <w:i w:val="0"/>
          <w:color w:val="000000"/>
          <w:sz w:val="24"/>
          <w:highlight w:val="yellow"/>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基于模型与状态反馈的闭环运动控制方法：</w:t>
      </w:r>
      <w:r>
        <w:rPr>
          <w:rFonts w:ascii="Times New Roman" w:hAnsi="Times New Roman" w:cs="Times New Roman" w:eastAsia="宋体"/>
          <w:b w:val="0"/>
          <w:i w:val="0"/>
          <w:color w:val="000000"/>
          <w:sz w:val="24"/>
          <w:highlight w:val="yellow"/>
        </w:rPr>
        <w:t xml:space="preserve">以经验证的航行器标称模型为基础，设参考运动状态为 </w:t>
      </w:r>
      <m:oMath>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 与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，定义姿态、深度与航向等状态跟踪误差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η</m:t>
        </m:r>
      </m:oMath>
      <w:r>
        <w:rPr>
          <w:rFonts w:ascii="Times New Roman" w:hAnsi="Times New Roman" w:cs="Times New Roman" w:eastAsia="宋体"/>
          <w:b w:val="0"/>
          <w:i w:val="0"/>
          <w:color w:val="000000"/>
          <w:sz w:val="24"/>
          <w:highlight w:val="yellow"/>
        </w:rPr>
        <w:t xml:space="preserve"> 及速度误差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。结合标称模型信息（</w:t>
      </w:r>
      <m:oMath>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oMath>
      <w:r>
        <w:rPr>
          <w:rFonts w:ascii="Times New Roman" w:hAnsi="Times New Roman" w:cs="Times New Roman" w:eastAsia="宋体"/>
          <w:b w:val="0"/>
          <w:i w:val="0"/>
          <w:color w:val="000000"/>
          <w:sz w:val="24"/>
          <w:highlight w:val="yellow"/>
        </w:rPr>
        <w:t xml:space="preserve">）与实时状态反馈，设计闭环运动控制律计算期望广义力和力矩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该通用结构将基于航行器模型的动态特性补偿项 </w:t>
      </w:r>
      <m:oMath>
        <m:sSub>
          <m:e>
            <m:r>
              <m:rPr>
                <m:sty m:val="bi"/>
              </m:rPr>
              <w:rPr>
                <w:rFonts w:ascii="Cambria Math" w:hAnsi="Cambria Math" w:eastAsia="宋体"/>
                <w:sz w:val="24"/>
                <w:szCs w:val="24"/>
                <w:highlight w:val="yellow"/>
              </w:rPr>
              <m:t>F</m:t>
            </m:r>
          </m:e>
          <m:sub>
            <m:r>
              <m:rPr>
                <m:sty m:val="p"/>
              </m:rPr>
              <w:rPr>
                <w:rFonts w:ascii="Cambria Math" w:hAnsi="Cambria Math" w:eastAsia="宋体"/>
                <w:sz w:val="24"/>
                <w:szCs w:val="24"/>
                <w:highlight w:val="yellow"/>
              </w:rPr>
              <m:t>model</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与基于状态误差的反馈控制项 </w:t>
      </w:r>
      <m:oMath>
        <m:sSub>
          <m:e>
            <m:r>
              <m:rPr>
                <m:sty m:val="bi"/>
              </m:rPr>
              <w:rPr>
                <w:rFonts w:ascii="Cambria Math" w:hAnsi="Cambria Math" w:eastAsia="宋体"/>
                <w:sz w:val="24"/>
                <w:szCs w:val="24"/>
                <w:highlight w:val="yellow"/>
              </w:rPr>
              <m:t>F</m:t>
            </m:r>
          </m:e>
          <m:sub>
            <m:r>
              <m:rPr>
                <m:sty m:val="p"/>
              </m:rPr>
              <w:rPr>
                <w:rFonts w:ascii="Cambria Math" w:hAnsi="Cambria Math" w:eastAsia="宋体"/>
                <w:sz w:val="24"/>
                <w:szCs w:val="24"/>
                <w:highlight w:val="yellow"/>
              </w:rPr>
              <m:t>fb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highlight w:val="yellow"/>
        </w:rPr>
        <w:t xml:space="preserve">，并在推进器基本推力输出范围约束下求解各推进器推力指令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通过对比无约束广义逆基准与考虑推力上下限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的有界控制分配方法，量化分析控制分配残差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5） PX4/SITL闭环仿真验证方法：</w:t>
      </w:r>
      <w:r>
        <w:rPr>
          <w:rFonts w:ascii="Times New Roman" w:hAnsi="Times New Roman" w:cs="Times New Roman" w:eastAsia="宋体"/>
          <w:b w:val="0"/>
          <w:i w:val="0"/>
          <w:color w:val="000000"/>
          <w:sz w:val="24"/>
          <w:highlight w:val="yellow"/>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、动态响应指标及控制分配残差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 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（3） 可行性分析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理论与方法可行性：</w:t>
      </w:r>
      <w:r>
        <w:rPr>
          <w:rFonts w:ascii="Times New Roman" w:hAnsi="Times New Roman" w:cs="Times New Roman" w:eastAsia="宋体"/>
          <w:b w:val="0"/>
          <w:i w:val="0"/>
          <w:color w:val="000000"/>
          <w:sz w:val="24"/>
          <w:highlight w:val="yellow"/>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平台与数据基础可行性：</w:t>
      </w:r>
      <w:r>
        <w:rPr>
          <w:rFonts w:ascii="Times New Roman" w:hAnsi="Times New Roman" w:cs="Times New Roman" w:eastAsia="宋体"/>
          <w:b w:val="0"/>
          <w:i w:val="0"/>
          <w:color w:val="000000"/>
          <w:sz w:val="24"/>
          <w:highlight w:val="yellow"/>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软件与仿真环境可行性：</w:t>
      </w:r>
      <w:r>
        <w:rPr>
          <w:rFonts w:ascii="Times New Roman" w:hAnsi="Times New Roman" w:cs="Times New Roman" w:eastAsia="宋体"/>
          <w:b w:val="0"/>
          <w:i w:val="0"/>
          <w:color w:val="000000"/>
          <w:sz w:val="24"/>
          <w:highlight w:val="yellow"/>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highlight w:val="yellow"/>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highlight w:val="yellow"/>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