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jc w:val="center"/>
        <w:rPr>
          <w:rFonts w:ascii="黑体" w:eastAsia="黑体" w:hint="eastAsia"/>
          <w:sz w:val="72"/>
        </w:rPr>
      </w:pPr>
      <w:r/>
      <w:r>
        <w:rPr>
          <w:rFonts w:ascii="Times New Roman" w:hAnsi="Times New Roman" w:cs="Times New Roman" w:eastAsia="黑体"/>
          <w:b w:val="0"/>
          <w:i w:val="0"/>
          <w:color w:val="000000"/>
          <w:sz w:val="72"/>
        </w:rPr>
        <w:t>毕业论文开题报告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r w:rsidRPr="00470EA2">
              <w:rPr>
                <w:rFonts w:ascii="宋体" w:hAnsi="宋体"/>
                <w:sz w:val="28"/>
                <w:szCs w:val="28"/>
              </w:rPr>
              <w:t>课题名称</w:t>
            </w:r>
          </w:p>
        </w:tc>
        <w:tc>
          <w:tcPr>
            <w:tcW w:w="5607" w:type="dxa"/>
            <w:gridSpan w:val="3"/>
            <w:tcBorders>
              <w:bottom w:val="single" w:sz="4" w:space="0" w:color="auto"/>
            </w:tcBorders>
            <w:vAlign w:val="bottom"/>
          </w:tcPr>
          <w:p>
            <w:pPr>
              <w:jc w:val="center"/>
            </w:pPr>
            <w:r/>
            <w:r>
              <w:rPr>
                <w:rFonts w:ascii="Times New Roman" w:hAnsi="Times New Roman" w:cs="Times New Roman" w:eastAsia="宋体"/>
                <w:b w:val="0"/>
                <w:i w:val="0"/>
                <w:color w:val="00000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r w:rsidRPr="00470EA2">
              <w:rPr>
                <w:rFonts w:ascii="宋体" w:hAnsi="宋体"/>
                <w:sz w:val="28"/>
                <w:szCs w:val="28"/>
              </w:rPr>
              <w:t>学生姓名</w:t>
            </w:r>
          </w:p>
        </w:tc>
        <w:tc>
          <w:tcPr>
            <w:tcW w:w="1642"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2352407</w:t>
            </w:r>
          </w:p>
        </w:tc>
      </w:tr>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center"/>
          </w:tcPr>
          <w:p w14:paraId="7B4A7919" w14:textId="77777777" w:rsidR="003C56B6" w:rsidRPr="00470EA2" w:rsidRDefault="003C56B6" w:rsidP="00536562">
            <w:pPr>
              <w:jc w:val="center"/>
              <w:rPr>
                <w:rFonts w:ascii="宋体" w:hAnsi="宋体" w:hint="eastAsia"/>
                <w:sz w:val="28"/>
                <w:szCs w:val="28"/>
              </w:rPr>
            </w:pPr>
          </w:p>
        </w:tc>
        <w:tc>
          <w:tcPr>
            <w:tcW w:w="850" w:type="dxa"/>
            <w:vAlign w:val="center"/>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7BB9ED3F" w14:textId="77777777" w:rsidR="003C56B6" w:rsidRPr="00470EA2" w:rsidRDefault="003C56B6" w:rsidP="00536562">
            <w:pPr>
              <w:jc w:val="center"/>
              <w:rPr>
                <w:rFonts w:ascii="宋体" w:hAnsi="宋体" w:hint="eastAsia"/>
                <w:sz w:val="28"/>
                <w:szCs w:val="28"/>
              </w:rPr>
            </w:pPr>
          </w:p>
        </w:tc>
        <w:tc>
          <w:tcPr>
            <w:tcW w:w="446" w:type="dxa"/>
            <w:vAlign w:val="center"/>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2C927EB" w14:textId="77777777" w:rsidR="003C56B6" w:rsidRPr="00470EA2" w:rsidRDefault="003C56B6" w:rsidP="00536562">
            <w:pPr>
              <w:jc w:val="center"/>
              <w:rPr>
                <w:rFonts w:ascii="宋体" w:hAnsi="宋体" w:hint="eastAsia"/>
                <w:sz w:val="28"/>
                <w:szCs w:val="28"/>
              </w:rPr>
            </w:pPr>
          </w:p>
        </w:tc>
        <w:tc>
          <w:tcPr>
            <w:tcW w:w="466" w:type="dxa"/>
            <w:vAlign w:val="center"/>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tbl>
    <w:p w14:paraId="6D33EC83" w14:textId="77777777" w:rsidR="008C10CC" w:rsidRPr="00470EA2" w:rsidRDefault="008C10CC">
      <w:pPr>
        <w:ind w:firstLine="560"/>
        <w:rPr>
          <w:rFonts w:ascii="宋体" w:hAnsi="宋体" w:hint="eastAsia"/>
          <w:sz w:val="28"/>
          <w:szCs w:val="28"/>
        </w:rPr>
      </w:pP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一、毕业论文课题背景</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1． 课题来源及研究的目的和意义</w:t>
      </w:r>
    </w:p>
    <w:p>
      <w:pPr>
        <w:pStyle w:val="a7"/>
        <w:jc w:val="both"/>
        <w:spacing w:line="360" w:lineRule="auto"/>
        <w:ind w:firstLineChars="200" w:firstLine="480"/>
      </w:pPr>
      <w:r>
        <w:rPr>
          <w:rFonts w:ascii="Times New Roman" w:hAnsi="Times New Roman" w:cs="Times New Roman" w:eastAsia="黑体"/>
          <w:b w:val="0"/>
          <w:i w:val="0"/>
          <w:color w:val="000000"/>
          <w:sz w:val="24"/>
        </w:rPr>
        <w:t>（1）课题来源</w:t>
      </w:r>
    </w:p>
    <w:p>
      <w:pPr>
        <w:pStyle w:val="a7"/>
        <w:jc w:val="both"/>
        <w:spacing w:line="360" w:lineRule="auto"/>
        <w:ind w:firstLineChars="200" w:firstLine="480"/>
      </w:pPr>
      <w:r>
        <w:rPr>
          <w:rFonts w:ascii="Times New Roman" w:hAnsi="Times New Roman" w:cs="Times New Roman" w:eastAsia="宋体"/>
          <w:b w:val="0"/>
          <w:i w:val="0"/>
          <w:color w:val="000000"/>
          <w:sz w:val="24"/>
        </w:rPr>
        <w:t>本课题来源于实验室在水下无人系统与智能海洋装备方向的科研实践与工程开发需求，直接依托实验室已有的八推进器水下航行器（Unmanned Underwater Vehicle / Remotely Operated Vehicle，UUV/ROV）实验平台方案及相关结构数据开展研究。</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海洋是高质量发展的战略要地。党的二十大报告明确提出，要“发展海洋经济，保护海洋生态环境，加快建设海洋强国”。习近平总书记强调，“建设海洋强国是实现中华民族伟大复兴的重大战略任务”，“要向海洋要资源、要空间，发展海洋科技，核心技术要牢牢掌握在自己手中”。国家《“十四五”海洋经济发展规划》进一步明确，要“推动海洋高端装备制造实现突破，加快深远海无人潜水器（AUV/ROV）、水下智能机器人与海洋立体观测技术装备的自主化研发与工程应用”；工业和信息化部等十七部门联合印发的《“机器人+”应用行动实施方案》中，亦明确将“面向水下极端环境作业、海洋工程基础设施无损巡检与水下应急搜救的特种机器人”列为国家重点攻关与推广示范方向。</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在上述国家重大战略牵引与行业应用需求下，水下无人航行器在海底矿产与油气管网巡检、海上风电大直径基桩与跨海桥隧水下结构物无损检测、大型水利大坝安全评估，以及现代海洋牧场立体管护等领域发挥着关键支撑作用。在贴近被测复杂结构物或狭窄受限水域作业时，环境水流扰动与水下视线受阻对航行器的低速敏捷机动与自主悬停能力提出了较高要求，需要航行器能够在水流干扰环境下高品质完成空间定点悬停、姿态定角保持（抵抗横滚与俯仰倾角偏差）、定深控制（克服重浮力微小失配与垂向流扰）以及航向锁定（定航）等基本运动控制任务。</w:t>
      </w:r>
    </w:p>
    <w:p>
      <w:pPr>
        <w:pStyle w:val="a7"/>
        <w:jc w:val="both"/>
        <w:spacing w:line="360" w:lineRule="auto"/>
        <w:ind w:firstLineChars="200" w:firstLine="480"/>
      </w:pPr>
      <w:r>
        <w:rPr>
          <w:rFonts w:ascii="Times New Roman" w:hAnsi="Times New Roman" w:cs="Times New Roman" w:eastAsia="宋体"/>
          <w:b w:val="0"/>
          <w:i w:val="0"/>
          <w:color w:val="000000"/>
          <w:sz w:val="24"/>
        </w:rPr>
        <w:t>实验室现有的八推进器水下航行器平台采用了典型的开架式（Open-frame）机械构型，具备八推进器空间对称与矢量倾斜布置的硬件驱动能力，依托实验室已完成构型设计的八推进器开架式物理平台方案及结构参数资料开展研究。然而，要在流体环境中实现</w:t>
      </w:r>
      <w:r>
        <w:rPr>
          <w:rFonts w:ascii="Times New Roman" w:hAnsi="Times New Roman" w:cs="Times New Roman" w:eastAsia="宋体"/>
          <w:b w:val="0"/>
          <w:i w:val="0"/>
          <w:color w:val="000000"/>
          <w:sz w:val="24"/>
          <w:highlight w:val="yellow"/>
        </w:rPr>
        <w:t>高品质的</w:t>
      </w:r>
      <w:r>
        <w:rPr>
          <w:rFonts w:ascii="Times New Roman" w:hAnsi="Times New Roman" w:cs="Times New Roman" w:eastAsia="宋体"/>
          <w:b w:val="0"/>
          <w:i w:val="0"/>
          <w:color w:val="000000"/>
          <w:sz w:val="24"/>
        </w:rPr>
        <w:t>自主闭环控制，仍面临诸多瓶颈：缺乏系统化的水动力建模与参数辨识，使得控制器难以获取物理平台的真实动力学特性；运动控制与推力分配多采用人工试凑的经验PID参数，未能在六自由度耦合层面上充分释放八推进器过驱动配置的协调潜力；控制系统软件缺乏工业级模块化规范，难以直接面向工程部署开展高可信度的闭环验证。为此，本课题立足于实验室已有平台的方案与数据基础，围绕“动力学建模、系统辨识、模型运动控制、八推进器控制分配及 PX4/SITL 闭环仿真验证”开展系统性研究，具有</w:t>
      </w:r>
      <w:r>
        <w:rPr>
          <w:rFonts w:ascii="Times New Roman" w:hAnsi="Times New Roman" w:cs="Times New Roman" w:eastAsia="宋体"/>
          <w:b w:val="0"/>
          <w:i w:val="0"/>
          <w:color w:val="000000"/>
          <w:sz w:val="24"/>
          <w:highlight w:val="yellow"/>
        </w:rPr>
        <w:t>坚实的工程实践背景与明确的技术升级需求</w:t>
      </w:r>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黑体"/>
          <w:b w:val="0"/>
          <w:i w:val="0"/>
          <w:color w:val="000000"/>
          <w:sz w:val="24"/>
        </w:rPr>
        <w:t>（2）研究目的</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在黏性流体介质中运动时，在物理机理上呈现出显著的六自由度（6-DOF）非线性耦合特性。一方面，在流体动力学层面，航行器的运动不仅取决于刚体自身质量惯性矩阵，还受到周围水体随体加速运动所产生的附加质量（Added Mass）效应的影响，附加质量的大小在低速和变加速工况下可与刚体自身质量相当；刚体与附加质量在旋转运动中伴随着科氏力与向心力耦合作用，流体黏性流动与开架式桁架、设备附体边缘产生的脱体涡流阻力则共同构成了包含线性与二次非线性项的水动力阻尼特性；此外，航行器重心（CG）与浮心（CB）的空间相对位置形成了各向异性的静恢复力与力矩。在上述多源流体物理效应的综合作用下，航行器各运动轴之间存在明显的动力学交叉耦合。</w:t>
      </w:r>
    </w:p>
    <w:p>
      <w:pPr>
        <w:pStyle w:val="a7"/>
        <w:jc w:val="both"/>
        <w:spacing w:line="360" w:lineRule="auto"/>
        <w:ind w:firstLineChars="200" w:firstLine="480"/>
      </w:pPr>
      <w:r>
        <w:rPr>
          <w:rFonts w:ascii="Times New Roman" w:hAnsi="Times New Roman" w:cs="Times New Roman" w:eastAsia="宋体"/>
          <w:b w:val="0"/>
          <w:i w:val="0"/>
          <w:color w:val="000000"/>
          <w:sz w:val="24"/>
        </w:rPr>
        <w:t>另一方面，在工程实现层面，由于开架式航行器结构件复杂、附体较多，常规的解析经验公式难以准确计算其全部水动力参数；加工装配公差、线缆悬垂拉拽张力、水密舱内部载荷装配位置偏差以及水体密度变化等物理因素，导致理论设计模型与物理平台的实际动态特性之间不可避免地存在参数偏差与未建模动态。此外，已有平台配备的八个推进器在空间呈水平面矢量倾斜与垂直面对称布置，构成了典型的过驱动冗余系统，运动控制器输出的六自由度期望广义力和力矩必须经过控制分配映射转化为各推进器的控制指令，且推进器在物理上受限于推力输出范围、正反转效率差异及推力死区等约束，容易在大幅机动时引发局部推进器饱和与力矩分配失真。</w:t>
      </w:r>
    </w:p>
    <w:p>
      <w:pPr>
        <w:pStyle w:val="a7"/>
        <w:jc w:val="both"/>
        <w:spacing w:line="360" w:lineRule="auto"/>
        <w:ind w:firstLineChars="200" w:firstLine="480"/>
      </w:pPr>
      <w:r>
        <w:rPr>
          <w:rFonts w:ascii="Times New Roman" w:hAnsi="Times New Roman" w:cs="Times New Roman" w:eastAsia="宋体"/>
          <w:b w:val="0"/>
          <w:i w:val="0"/>
          <w:color w:val="000000"/>
          <w:sz w:val="24"/>
        </w:rPr>
        <w:t>针对上述挑战，本课题的研究目的在于：依托已有八推进器水下航行器平台，建立六自由度动力学与推进器模型；结合已有平台参数资料和相关数据开展系统辨识与模型验证，明确系统辨识的输入输出关系，对关键未知量进行辨识修正并分析模型适用范围；在此基础上，结合经验证的航行器模型特性与状态反馈构建闭环运动控制系统，实现姿态、深度和航向等基本运动状态的闭环控制；依据八推进器空间布局建立控制分配矩阵，考虑基本推力输出范围生成推力指令；最终在PX4/SITL软件在环仿真环境中构建闭环系统，通过代表性运动工况与流扰条件开展闭环仿真验证与量化性能评价，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rPr>
        <w:t>（3）研究意义</w:t>
      </w:r>
    </w:p>
    <w:p>
      <w:pPr>
        <w:pStyle w:val="a7"/>
        <w:jc w:val="both"/>
        <w:spacing w:line="360" w:lineRule="auto"/>
        <w:ind w:firstLineChars="200" w:firstLine="480"/>
      </w:pPr>
      <w:r>
        <w:rPr>
          <w:rFonts w:ascii="Times New Roman" w:hAnsi="Times New Roman" w:cs="Times New Roman" w:eastAsia="宋体"/>
          <w:b w:val="0"/>
          <w:i w:val="0"/>
          <w:color w:val="000000"/>
          <w:sz w:val="24"/>
        </w:rPr>
        <w:t>第一，在理论与方法层面，有助于深化模型支撑下的水下航行器运动控制全链路分析体系。传统的无模型经验控制难以在多轴耦合与强阻尼环境下保证理想的动态响应品质，而过于依赖单一高精度解析模型的控制方法又常因水动力参数获取困难而难以在工程中有效落地。本课题坚持“机理建模与试验辨识相结合、模型信息与状态反馈相结合”的研究理念，通过机理推导理清六自由度方程的物理架构，借助系统辨识修正关键未知参数，获得满足控制设计精度要求的标称基准模型。在此基础上，将标称模型中的静回复力、主导阻尼与惯性耦合项引入控制前向通道进行主动补偿，同时依靠稳健的状态误差反馈抑制未建模残差与外部扰动，有助于理清动力学模型保真度、控制律补偿结构与闭环动态抗扰性能之间的内在关联；同时，针对八推进器过驱动构型建立规范的控制分配与约束分析方法，能够为冗余推进器在复杂受力工况下的推力协调分配提供理论依据。</w:t>
      </w:r>
    </w:p>
    <w:p>
      <w:pPr>
        <w:pStyle w:val="a7"/>
        <w:jc w:val="both"/>
        <w:spacing w:line="360" w:lineRule="auto"/>
        <w:ind w:firstLineChars="200" w:firstLine="480"/>
      </w:pPr>
      <w:r>
        <w:rPr>
          <w:rFonts w:ascii="Times New Roman" w:hAnsi="Times New Roman" w:cs="Times New Roman" w:eastAsia="宋体"/>
          <w:b w:val="0"/>
          <w:i w:val="0"/>
          <w:color w:val="000000"/>
          <w:sz w:val="24"/>
        </w:rPr>
        <w:t>第二，在工程应用与软件实践层面，旨在构建标准化、高可移植性的 PX4/SITL 水下飞控研发流程。传统水下机器人开发中普遍存在“在纯数学仿真环境中表现良好，但向机载嵌入式控制器移植时代码重构量大、软硬件接口脱节”的工程问题。PX4 作为广泛应用的开源无人系统控制软件框架，具有高度模块化的分层架构、实时多任务调度机制以及基于 uORB 的松耦合消息通信总线。本课题依托 PX4 软件架构开展模块化代码设计，在 SITL 仿真环境中直接集成 6-DOF 动力学模型、运动控制器与八推进器分配算法，不仅可以在安全、低成本、高可重复的条件下测试算法在典型运动工况和适量外部水流扰动条件下的闭环性能，还规范了状态估计、期望力矩输出及各推进器指令的标准数据接口。这为后续将算法部署至机载嵌入式硬件并开展实物测试提供了可靠的软件工程基础。</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2． 国内外在该方向的研究现状和发展趋势</w:t>
      </w:r>
    </w:p>
    <w:p>
      <w:pPr>
        <w:pStyle w:val="a7"/>
        <w:jc w:val="both"/>
        <w:spacing w:line="360" w:lineRule="auto"/>
        <w:ind w:firstLineChars="200" w:firstLine="480"/>
      </w:pPr>
      <w:r>
        <w:rPr>
          <w:rFonts w:ascii="Times New Roman" w:hAnsi="Times New Roman" w:cs="Times New Roman" w:eastAsia="宋体"/>
          <w:b w:val="0"/>
          <w:i w:val="0"/>
          <w:color w:val="000000"/>
          <w:sz w:val="24"/>
        </w:rPr>
        <w:t>围绕本课题所涉及的水下航行器六自由度动力学机理建模与参数辨识、基于模型与状态反馈的运动控制方法、多推进器受约束控制分配以及基于开源飞控软件（PX4）的闭环仿真等四个核心技术环节，国内外学术界与工业界开展了系统的研究。</w:t>
      </w:r>
    </w:p>
    <w:p>
      <w:pPr>
        <w:pStyle w:val="a7"/>
        <w:jc w:val="both"/>
        <w:spacing w:line="360" w:lineRule="auto"/>
        <w:ind w:firstLineChars="200" w:firstLine="480"/>
      </w:pPr>
      <w:r>
        <w:rPr>
          <w:rFonts w:ascii="Times New Roman" w:hAnsi="Times New Roman" w:cs="Times New Roman" w:eastAsia="黑体"/>
          <w:b w:val="0"/>
          <w:i w:val="0"/>
          <w:color w:val="000000"/>
          <w:sz w:val="24"/>
        </w:rPr>
        <w:t>（1）水下航行器动力学建模与系统辨识研究现状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 系统提出了海洋航行器六自由度非线性矢量建模理论体系</w:t>
      </w:r>
      <w:hyperlink w:anchor="_Ref_Paper_1" w:history="1">
        <w:r>
          <w:rPr>
            <w:rFonts w:ascii="Times New Roman" w:hAnsi="Times New Roman" w:cs="Times New Roman" w:eastAsia="宋体"/>
            <w:sz w:val="24"/>
            <w:szCs w:val="24"/>
            <w:color w:val="000000"/>
            <w:vertAlign w:val="superscript"/>
          </w:rPr>
          <w:t>[1]</w:t>
        </w:r>
      </w:hyperlink>
      <w:r>
        <w:rPr>
          <w:rFonts w:ascii="Times New Roman" w:hAnsi="Times New Roman" w:cs="Times New Roman" w:eastAsia="宋体"/>
          <w:b w:val="0"/>
          <w:i w:val="0"/>
          <w:color w:val="000000"/>
          <w:sz w:val="24"/>
        </w:rPr>
        <w:t>。该体系将固定于地球的惯性坐标系（NED）与固连于航行器的附体坐标系（Body-fixed Frame）相结合，通过坐标变换矩阵统一描述位置、姿态欧拉角与六自由度线速度、角速度，并将作用于机体上的广义力矩严格解构为刚体惯性矩阵、水动力附加质量矩阵、刚体与附加质量科氏向心力矩阵、线性与非线性水动力阻尼矩阵以及重力与浮力恢复力矩矢量，成为当前水下航行器建模与控制研究所公认的数学物理基石。对于采用开架式（Open-frame）机械构型的 ROV 而言，其水动力特性与流线型鱼雷状 AUV 存在明显差异。开架式航行器通常挂载外部传感器探头、推进器短舱、照明灯组及耐压水密舱，表面形态不规则且内部水流可穿透框架结构流动。Caccia 等较早对开架式可变构型无人水下航行器的动力学建模与水动力参数辨识展开了系统研究，指出了开架式航行器附加质量与阻尼矩阵中非对角耦合项的影响，验证了基于机理模型结构结合试验数据辨识主导水动力参数的可行性</w:t>
      </w:r>
      <w:hyperlink w:anchor="_Ref_Paper_2" w:history="1">
        <w:r>
          <w:rPr>
            <w:rFonts w:ascii="Times New Roman" w:hAnsi="Times New Roman" w:cs="Times New Roman" w:eastAsia="宋体"/>
            <w:sz w:val="24"/>
            <w:szCs w:val="24"/>
            <w:color w:val="000000"/>
            <w:vertAlign w:val="superscript"/>
          </w:rPr>
          <w:t>[2]</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由于开架式航行器的水动力系数难以仅凭理论解析精确计算，结合试验手段与运行数据开展系统辨识成为获取可用工程模型的重要途径。在传统水动力测试中，平面运动机构（PMM）水池拖曳试验精度高但设备成本高、周期长。为此，低成本、高效率的原位试验与动态响应辨识方法受到了研究者的广泛关注。Ross、Fossen 与 Johansen 提出了基于自由衰减试验（Free Decay Tests）辨识水下航行器水动力系数的方法，通过释放初始位移并记录单自由度衰减振荡曲线即可解算出主要惯性与阻尼参数，具有操作简便、物理直观的特点</w:t>
      </w:r>
      <w:hyperlink w:anchor="_Ref_Paper_3" w:history="1">
        <w:r>
          <w:rPr>
            <w:rFonts w:ascii="Times New Roman" w:hAnsi="Times New Roman" w:cs="Times New Roman" w:eastAsia="宋体"/>
            <w:sz w:val="24"/>
            <w:szCs w:val="24"/>
            <w:color w:val="000000"/>
            <w:vertAlign w:val="superscript"/>
          </w:rPr>
          <w:t>[3]</w:t>
        </w:r>
      </w:hyperlink>
      <w:r>
        <w:rPr>
          <w:rFonts w:ascii="Times New Roman" w:hAnsi="Times New Roman" w:cs="Times New Roman" w:eastAsia="宋体"/>
          <w:b w:val="0"/>
          <w:i w:val="0"/>
          <w:color w:val="000000"/>
          <w:sz w:val="24"/>
        </w:rPr>
        <w:t>；Avila 等针对开架式水下航行器开展了系统化的实验水动力模型辨识研究，结合阶跃推力激励与频域响应分析对附加质量与流体阻尼特性进行了定量标定</w:t>
      </w:r>
      <w:hyperlink w:anchor="_Ref_Paper_4" w:history="1">
        <w:r>
          <w:rPr>
            <w:rFonts w:ascii="Times New Roman" w:hAnsi="Times New Roman" w:cs="Times New Roman" w:eastAsia="宋体"/>
            <w:sz w:val="24"/>
            <w:szCs w:val="24"/>
            <w:color w:val="000000"/>
            <w:vertAlign w:val="superscript"/>
          </w:rPr>
          <w:t>[4]</w:t>
        </w:r>
      </w:hyperlink>
      <w:r>
        <w:rPr>
          <w:rFonts w:ascii="Times New Roman" w:hAnsi="Times New Roman" w:cs="Times New Roman" w:eastAsia="宋体"/>
          <w:b w:val="0"/>
          <w:i w:val="0"/>
          <w:color w:val="000000"/>
          <w:sz w:val="24"/>
        </w:rPr>
        <w:t>。在辨识算法演进方面，针对水下传感器在真实水体环境中存在的测量噪声，Liu 等探讨了最大似然估计（ML）在水下航行器非线性阻尼与附加质量辨识中的应用，提升了参数估计在统计意义上的一致性</w:t>
      </w:r>
      <w:hyperlink w:anchor="_Ref_Paper_5" w:history="1">
        <w:r>
          <w:rPr>
            <w:rFonts w:ascii="Times New Roman" w:hAnsi="Times New Roman" w:cs="Times New Roman" w:eastAsia="宋体"/>
            <w:sz w:val="24"/>
            <w:szCs w:val="24"/>
            <w:color w:val="000000"/>
            <w:vertAlign w:val="superscript"/>
          </w:rPr>
          <w:t>[5]</w:t>
        </w:r>
      </w:hyperlink>
      <w:r>
        <w:rPr>
          <w:rFonts w:ascii="Times New Roman" w:hAnsi="Times New Roman" w:cs="Times New Roman" w:eastAsia="宋体"/>
          <w:b w:val="0"/>
          <w:i w:val="0"/>
          <w:color w:val="000000"/>
          <w:sz w:val="24"/>
        </w:rPr>
        <w:t>；Chin 与 Lau 针对复杂外形开架式 ROV 开展了水动力阻尼的数值建模与试验对比研究，分析了不同速度区间线性阻尼与二次非线性阻尼的主导权重</w:t>
      </w:r>
      <w:hyperlink w:anchor="_Ref_Paper_6" w:history="1">
        <w:r>
          <w:rPr>
            <w:rFonts w:ascii="Times New Roman" w:hAnsi="Times New Roman" w:cs="Times New Roman" w:eastAsia="宋体"/>
            <w:sz w:val="24"/>
            <w:szCs w:val="24"/>
            <w:color w:val="000000"/>
            <w:vertAlign w:val="superscript"/>
          </w:rPr>
          <w:t>[6]</w:t>
        </w:r>
      </w:hyperlink>
      <w:r>
        <w:rPr>
          <w:rFonts w:ascii="Times New Roman" w:hAnsi="Times New Roman" w:cs="Times New Roman" w:eastAsia="宋体"/>
          <w:b w:val="0"/>
          <w:i w:val="0"/>
          <w:color w:val="000000"/>
          <w:sz w:val="24"/>
        </w:rPr>
        <w:t>。国内哈尔滨工程大学等团队在水动力参数数值计算与辨识领域亦取得了丰富成果，如高婷、庞永杰等针对水下航行器复杂构型水动力系数计算方法开展了系统研究，结合几何特征分析、数值仿真与试验修正建立了面向控制设计的实用化模型</w:t>
      </w:r>
      <w:hyperlink w:anchor="_Ref_Paper_7" w:history="1">
        <w:r>
          <w:rPr>
            <w:rFonts w:ascii="Times New Roman" w:hAnsi="Times New Roman" w:cs="Times New Roman" w:eastAsia="宋体"/>
            <w:sz w:val="24"/>
            <w:szCs w:val="24"/>
            <w:color w:val="000000"/>
            <w:vertAlign w:val="superscript"/>
          </w:rPr>
          <w:t>[7]</w:t>
        </w:r>
      </w:hyperlink>
      <w:r>
        <w:rPr>
          <w:rFonts w:ascii="Times New Roman" w:hAnsi="Times New Roman" w:cs="Times New Roman" w:eastAsia="宋体"/>
          <w:b w:val="0"/>
          <w:i w:val="0"/>
          <w:color w:val="000000"/>
          <w:sz w:val="24"/>
        </w:rPr>
        <w:t>。近年来，von Benzon 等面向主流八推进器 BlueROV2 平台建立了开源物理仿真与动力学基准，提供了标准化的辨识对比基础</w:t>
      </w:r>
      <w:hyperlink w:anchor="_Ref_Paper_8" w:history="1">
        <w:r>
          <w:rPr>
            <w:rFonts w:ascii="Times New Roman" w:hAnsi="Times New Roman" w:cs="Times New Roman" w:eastAsia="宋体"/>
            <w:sz w:val="24"/>
            <w:szCs w:val="24"/>
            <w:color w:val="000000"/>
            <w:vertAlign w:val="superscript"/>
          </w:rPr>
          <w:t>[8]</w:t>
        </w:r>
      </w:hyperlink>
      <w:r>
        <w:rPr>
          <w:rFonts w:ascii="Times New Roman" w:hAnsi="Times New Roman" w:cs="Times New Roman" w:eastAsia="宋体"/>
          <w:b w:val="0"/>
          <w:i w:val="0"/>
          <w:color w:val="000000"/>
          <w:sz w:val="24"/>
        </w:rPr>
        <w:t>。这表明“基于机理构建总体方程骨架 + 依托平台资料与相关数据辨识修正关键未知量 + 利用代表性动态响应进行适用范围验证”的方法，已成为兼顾模型物理可解释性与工程可用性的主流路径。</w:t>
      </w:r>
    </w:p>
    <w:p>
      <w:pPr>
        <w:pStyle w:val="a7"/>
        <w:jc w:val="both"/>
        <w:spacing w:line="360" w:lineRule="auto"/>
        <w:ind w:firstLineChars="200" w:firstLine="480"/>
      </w:pPr>
      <w:r>
        <w:rPr>
          <w:rFonts w:ascii="Times New Roman" w:hAnsi="Times New Roman" w:cs="Times New Roman" w:eastAsia="黑体"/>
          <w:b w:val="0"/>
          <w:i w:val="0"/>
          <w:color w:val="000000"/>
          <w:sz w:val="24"/>
        </w:rPr>
        <w:t>（2）水下航行器运动控制方法研究现状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品质。</w:t>
      </w:r>
      <w:r>
        <w:rPr>
          <w:rFonts w:ascii="Times New Roman" w:hAnsi="Times New Roman" w:cs="Times New Roman" w:eastAsia="宋体"/>
          <w:b w:val="0"/>
          <w:i w:val="0"/>
          <w:color w:val="000000"/>
          <w:sz w:val="24"/>
          <w:highlight w:val="yellow"/>
        </w:rPr>
        <w:t xml:space="preserve">典型水下航行器六自由度模型控制与推力分配通用闭环结构如图 1 所示（基于 Fossen 经典海洋航行器控制理论架构 </w:t>
      </w:r>
      <w:hyperlink w:anchor="_Ref_Paper_1" w:history="1">
        <w:r>
          <w:rPr>
            <w:rFonts w:ascii="Times New Roman" w:hAnsi="Times New Roman" w:cs="Times New Roman" w:eastAsia="宋体"/>
            <w:sz w:val="24"/>
            <w:szCs w:val="24"/>
            <w:color w:val="000000"/>
            <w:highlight w:val="yellow"/>
            <w:vertAlign w:val="superscript"/>
          </w:rPr>
          <w:t>[1]</w:t>
        </w:r>
      </w:hyperlink>
      <w:r>
        <w:rPr>
          <w:rFonts w:ascii="Times New Roman" w:hAnsi="Times New Roman" w:cs="Times New Roman" w:eastAsia="宋体"/>
          <w:b w:val="0"/>
          <w:i w:val="0"/>
          <w:color w:val="000000"/>
          <w:sz w:val="24"/>
          <w:highlight w:val="yellow"/>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508000"/>
            <wp:docPr id="1" name="Picture 1"/>
            <wp:cNvGraphicFramePr>
              <a:graphicFrameLocks noChangeAspect="1"/>
            </wp:cNvGraphicFramePr>
            <a:graphic>
              <a:graphicData uri="http://schemas.openxmlformats.org/drawingml/2006/picture">
                <pic:pic>
                  <pic:nvPicPr>
                    <pic:cNvPr id="0" name="fig1_lit_control_architecture.png"/>
                    <pic:cNvPicPr/>
                  </pic:nvPicPr>
                  <pic:blipFill>
                    <a:blip r:embed="rId10"/>
                    <a:stretch>
                      <a:fillRect/>
                    </a:stretch>
                  </pic:blipFill>
                  <pic:spPr>
                    <a:xfrm>
                      <a:off x="0" y="0"/>
                      <a:ext cx="5472000" cy="25080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1  典型水下航行器六自由度模型控制与推力分配通用闭环结构框图</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在早期的工程实际中，独立单回路 PID 或级联 PID 控制得到了广泛应用，其不依赖精确数学模型，通过误差积分消除稳态偏差，在平稳水流环境下的定点悬停或低速巡航中具备较好实用性 </w:t>
      </w:r>
      <w:hyperlink w:anchor="_Ref_Paper_1" w:history="1">
        <w:r>
          <w:rPr>
            <w:rFonts w:ascii="Times New Roman" w:hAnsi="Times New Roman" w:cs="Times New Roman" w:eastAsia="宋体"/>
            <w:sz w:val="24"/>
            <w:szCs w:val="24"/>
            <w:color w:val="000000"/>
            <w:vertAlign w:val="superscript"/>
          </w:rPr>
          <w:t>[1, 8]</w:t>
        </w:r>
      </w:hyperlink>
      <w:r>
        <w:rPr>
          <w:rFonts w:ascii="Times New Roman" w:hAnsi="Times New Roman" w:cs="Times New Roman" w:eastAsia="宋体"/>
          <w:b w:val="0"/>
          <w:i w:val="0"/>
          <w:color w:val="000000"/>
          <w:sz w:val="24"/>
        </w:rPr>
        <w:t>。然而，开架式八推进器水下航行器本质上是一个非线性、多轴耦合的多输入多输出（MIMO）动力学系统：航行器在水平面做快速纵向机动时易诱发明显的俯仰和垂荡运动；侧向位移时亦伴随着横滚力矩干扰；重力与浮力的非线性恢复力矩随姿态倾角呈三角函数非线性变化。若完全忽略这些物理耦合，纯线性 PID 控制难以兼顾不同运动工况下的控制品质，容易在较大幅度机动时出现超调偏大或推进器输出抖振。</w:t>
      </w:r>
    </w:p>
    <w:p>
      <w:pPr>
        <w:pStyle w:val="a7"/>
        <w:jc w:val="both"/>
        <w:spacing w:line="360" w:lineRule="auto"/>
        <w:ind w:firstLineChars="200" w:firstLine="480"/>
      </w:pPr>
      <w:r>
        <w:rPr>
          <w:rFonts w:ascii="Times New Roman" w:hAnsi="Times New Roman" w:cs="Times New Roman" w:eastAsia="宋体"/>
          <w:b w:val="0"/>
          <w:i w:val="0"/>
          <w:color w:val="000000"/>
          <w:sz w:val="24"/>
        </w:rPr>
        <w:t>针对上述问题，结合动力学模型已知特性与实时状态反馈的现代控制方法成为水下航行器控制领域的研究重点。</w:t>
      </w:r>
      <w:r>
        <w:rPr>
          <w:rFonts w:ascii="Times New Roman" w:hAnsi="Times New Roman" w:cs="Times New Roman" w:eastAsia="宋体"/>
          <w:b w:val="0"/>
          <w:i w:val="0"/>
          <w:color w:val="000000"/>
          <w:sz w:val="24"/>
          <w:highlight w:val="yellow"/>
        </w:rPr>
        <w:t>如图 1 所示，通用闭环控制系统主要由参考运动规划、运动控制器（包含模型前馈补偿与状态误差反馈两部分）、控制分配模块、推进器执行机构、航行器动力学模型以及状态估计模块组成。</w:t>
      </w:r>
      <w:r>
        <w:rPr>
          <w:rFonts w:ascii="Times New Roman" w:hAnsi="Times New Roman" w:cs="Times New Roman" w:eastAsia="宋体"/>
          <w:b w:val="0"/>
          <w:i w:val="0"/>
          <w:color w:val="000000"/>
          <w:sz w:val="24"/>
        </w:rPr>
        <w:t xml:space="preserve">Fernandes 等针对观察级 ROV 提出了一种基于高增益状态观测器的输出反馈运动控制系统，将航行器的标称动力学模型与状态重构相结合，仅依赖有限传感器输出即实现了深度、航向和水平面位置的稳定闭环控制，并通过理论分析与水池试验验证了有效性 </w:t>
      </w:r>
      <w:hyperlink w:anchor="_Ref_Paper_9" w:history="1">
        <w:r>
          <w:rPr>
            <w:rFonts w:ascii="Times New Roman" w:hAnsi="Times New Roman" w:cs="Times New Roman" w:eastAsia="宋体"/>
            <w:sz w:val="24"/>
            <w:szCs w:val="24"/>
            <w:color w:val="000000"/>
            <w:vertAlign w:val="superscript"/>
          </w:rPr>
          <w:t>[9]</w:t>
        </w:r>
      </w:hyperlink>
      <w:r>
        <w:rPr>
          <w:rFonts w:ascii="Times New Roman" w:hAnsi="Times New Roman" w:cs="Times New Roman" w:eastAsia="宋体"/>
          <w:b w:val="0"/>
          <w:i w:val="0"/>
          <w:color w:val="000000"/>
          <w:sz w:val="24"/>
        </w:rPr>
        <w:t xml:space="preserve">。Chu 等针对实际水下航行器普遍存在的推进器电机一阶动态延迟与推力幅值饱和问题，提出了一种融合动力学模型前馈补偿与自适应参数更新的轨迹跟踪控制方法，降低了水动力阻尼参数不确定性对跟踪精度的影响，并在推进器达到推力上限时保持了良好的闭环稳定性 </w:t>
      </w:r>
      <w:hyperlink w:anchor="_Ref_Paper_10" w:history="1">
        <w:r>
          <w:rPr>
            <w:rFonts w:ascii="Times New Roman" w:hAnsi="Times New Roman" w:cs="Times New Roman" w:eastAsia="宋体"/>
            <w:sz w:val="24"/>
            <w:szCs w:val="24"/>
            <w:color w:val="000000"/>
            <w:vertAlign w:val="superscript"/>
          </w:rPr>
          <w:t>[10]</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与此同时，围绕非线性系统解耦，基于反馈线性化与动态逆思想的控制方法也得到了深入探索。这类方法的核心思路在于利用动力学模型计算出抵消已知非线性项（如静水力恢复项、科氏力与主导阻尼项）所需的前馈控制力矩，将非线性耦合系统在标称意义上等效转化为解耦的线性通道，从而简化闭环状态反馈控制器的参数整定。此外，针对全状态精确机理模型难以完整获取的客观现实，学者们进一步探索了增量非线性动态逆（INDI）等局部增量控制方法。Smeur、Chu 等在微型飞行器姿态控制中系统建立了自适应增量非线性动态逆控制框架，利用角加速度高频反馈与同步滤波补偿有效抑制了模型不确定性与外部风扰的影响</w:t>
      </w:r>
      <w:hyperlink w:anchor="_Ref_Paper_11" w:history="1">
        <w:r>
          <w:rPr>
            <w:rFonts w:ascii="Times New Roman" w:hAnsi="Times New Roman" w:cs="Times New Roman" w:eastAsia="宋体"/>
            <w:sz w:val="24"/>
            <w:szCs w:val="24"/>
            <w:color w:val="000000"/>
            <w:vertAlign w:val="superscript"/>
          </w:rPr>
          <w:t>[11]</w:t>
        </w:r>
      </w:hyperlink>
      <w:r>
        <w:rPr>
          <w:rFonts w:ascii="Times New Roman" w:hAnsi="Times New Roman" w:cs="Times New Roman" w:eastAsia="宋体"/>
          <w:b w:val="0"/>
          <w:i w:val="0"/>
          <w:color w:val="000000"/>
          <w:sz w:val="24"/>
        </w:rPr>
        <w:t>；在此基础上，Slawik 等进一步将增量动态逆方法引入特技作业水下航行器（Cuttlefish AUV）的姿态控制中，结合标称水动力模型与传感器反馈在局部时间微元内补偿未建模动态，展现出较好的动态抗扰能力</w:t>
      </w:r>
      <w:hyperlink w:anchor="_Ref_Paper_12" w:history="1">
        <w:r>
          <w:rPr>
            <w:rFonts w:ascii="Times New Roman" w:hAnsi="Times New Roman" w:cs="Times New Roman" w:eastAsia="宋体"/>
            <w:sz w:val="24"/>
            <w:szCs w:val="24"/>
            <w:color w:val="000000"/>
            <w:vertAlign w:val="superscript"/>
          </w:rPr>
          <w:t>[12]</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综合国内外运动控制方法的发展演进可知，依托经验证的标称动力学模型，在控制回路中显式引入模型前馈或动态逆补偿以抵消主要已知的恢复力矩与主导流体效应，同时在反馈回路中融合实时状态误差开展稳健的状态反馈调节，能够在保证系统闭环稳定性的同时，为后续结合平台特性开展控制算法的横向比选与深入探索留出充分的方法比选空间与算法拓展余地。</w:t>
      </w:r>
    </w:p>
    <w:p>
      <w:pPr>
        <w:pStyle w:val="a7"/>
        <w:jc w:val="both"/>
        <w:spacing w:line="360" w:lineRule="auto"/>
        <w:ind w:firstLineChars="200" w:firstLine="480"/>
      </w:pPr>
      <w:r>
        <w:rPr>
          <w:rFonts w:ascii="Times New Roman" w:hAnsi="Times New Roman" w:cs="Times New Roman" w:eastAsia="黑体"/>
          <w:b w:val="0"/>
          <w:i w:val="0"/>
          <w:color w:val="000000"/>
          <w:sz w:val="24"/>
        </w:rPr>
        <w:t>（3）多推进器控制分配研究现状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对于配备八个推进器的全驱动开架式水下航行器而言，其独立的物理执行器通道数量（8 个推进器）大于空间六自由度广义力与力矩的数量（6 个控制维度），属于典型的过驱动（Over-actuated）冗余控制系统。上层运动控制器根据参考轨迹与当前状态误差计算出的是机体所需的合力与合力矩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，而实际作用于水体的则是各推进器产生的轴向推力矢量 </w:t>
      </w:r>
      <m:oMath>
        <m:r>
          <m:rPr>
            <m:sty m:val="bi"/>
          </m:rPr>
          <w:rPr>
            <w:rFonts w:ascii="Cambria Math" w:hAnsi="Cambria Math" w:eastAsia="宋体"/>
            <w:sz w:val="24"/>
            <w:szCs w:val="24"/>
          </w:rPr>
          <m:t>T</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。如何将低维的期望广义力矩合理、低失真地解算并映射为高维的各推进器控制指令，即为控制分配（Control Allocation）所要解决的关键课题。</w:t>
      </w:r>
    </w:p>
    <w:p>
      <w:pPr>
        <w:pStyle w:val="a7"/>
        <w:jc w:val="both"/>
        <w:spacing w:line="360" w:lineRule="auto"/>
        <w:ind w:firstLineChars="200" w:firstLine="480"/>
      </w:pPr>
      <w:r>
        <w:rPr>
          <w:rFonts w:ascii="Times New Roman" w:hAnsi="Times New Roman" w:cs="Times New Roman" w:eastAsia="宋体"/>
          <w:b w:val="0"/>
          <w:i w:val="0"/>
          <w:color w:val="000000"/>
          <w:sz w:val="24"/>
        </w:rPr>
        <w:t>Fossen 与 Johansen 针对船舶与水下航行器的推力分配问题开展了系统梳理，总结了海洋运载器过驱动控制分配的基本模型与求解框架</w:t>
      </w:r>
      <w:hyperlink w:anchor="_Ref_Paper_13" w:history="1">
        <w:r>
          <w:rPr>
            <w:rFonts w:ascii="Times New Roman" w:hAnsi="Times New Roman" w:cs="Times New Roman" w:eastAsia="宋体"/>
            <w:sz w:val="24"/>
            <w:szCs w:val="24"/>
            <w:color w:val="000000"/>
            <w:vertAlign w:val="superscript"/>
          </w:rPr>
          <w:t>[13]</w:t>
        </w:r>
      </w:hyperlink>
      <w:r>
        <w:rPr>
          <w:rFonts w:ascii="Times New Roman" w:hAnsi="Times New Roman" w:cs="Times New Roman" w:eastAsia="宋体"/>
          <w:b w:val="0"/>
          <w:i w:val="0"/>
          <w:color w:val="000000"/>
          <w:sz w:val="24"/>
        </w:rPr>
        <w:t>；随后，Johansen 与 Fossen 在控制分配综述中进一步完善了无约束广义逆、有界二次规划及再分配方法的理论体系</w:t>
      </w:r>
      <w:hyperlink w:anchor="_Ref_Paper_14" w:history="1">
        <w:r>
          <w:rPr>
            <w:rFonts w:ascii="Times New Roman" w:hAnsi="Times New Roman" w:cs="Times New Roman" w:eastAsia="宋体"/>
            <w:sz w:val="24"/>
            <w:szCs w:val="24"/>
            <w:color w:val="000000"/>
            <w:vertAlign w:val="superscript"/>
          </w:rPr>
          <w:t>[14]</w:t>
        </w:r>
      </w:hyperlink>
      <w:r>
        <w:rPr>
          <w:rFonts w:ascii="Times New Roman" w:hAnsi="Times New Roman" w:cs="Times New Roman" w:eastAsia="宋体"/>
          <w:b w:val="0"/>
          <w:i w:val="0"/>
          <w:color w:val="000000"/>
          <w:sz w:val="24"/>
        </w:rPr>
        <w:t>。在无约束或弱约束条件下，基于几何映射矩阵的广义逆（伪逆）法由于具备解析形式、计算开销小，在工程中得到了广泛的基础应用；通过在伪逆中引入对角加权矩阵（加权伪逆法），能够根据推进器物理尺寸、功率或安装力臂灵活分配控制权重。万磊、徐玉如与庞永杰等较早针对多推力器水下机器人的控制分配开展了系统性研究，探讨了基于广义逆与加权伪逆的推力协调方案，并拓展到了推力器故障下的容错重构分配领域</w:t>
      </w:r>
      <w:hyperlink w:anchor="_Ref_Paper_15" w:history="1">
        <w:r>
          <w:rPr>
            <w:rFonts w:ascii="Times New Roman" w:hAnsi="Times New Roman" w:cs="Times New Roman" w:eastAsia="宋体"/>
            <w:sz w:val="24"/>
            <w:szCs w:val="24"/>
            <w:color w:val="000000"/>
            <w:vertAlign w:val="superscript"/>
          </w:rPr>
          <w:t>[15]</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然而，实际物理推进器均存在明确的物理边界约束：推进器电机转速存在上限，导致正向推力与反向推力存在确定的幅值边界，且螺旋桨水动力特性决定了正转推力通常大于反转推力。若直接采用无约束伪逆求解，当某一个或多个推进器计算推力超出物理上限时，简单的截断饱和处理会导致实际产生的六维广义力和力矩方向发生偏转，即出现“力矩交叉耦合失真”，进而影响姿态闭环稳定性。为此，考虑推力输出范围约束的推力分配算法成为近年的研究重点。程卫平、王猛等针对水下机器人推力器物理输出上限，研究了基于可行方向法等处理推力边界约束的优化分配算法，抑制了推力饱和引起的力矩分配畸变</w:t>
      </w:r>
      <w:hyperlink w:anchor="_Ref_Paper_16" w:history="1">
        <w:r>
          <w:rPr>
            <w:rFonts w:ascii="Times New Roman" w:hAnsi="Times New Roman" w:cs="Times New Roman" w:eastAsia="宋体"/>
            <w:sz w:val="24"/>
            <w:szCs w:val="24"/>
            <w:color w:val="000000"/>
            <w:vertAlign w:val="superscript"/>
          </w:rPr>
          <w:t>[16]</w:t>
        </w:r>
      </w:hyperlink>
      <w:r>
        <w:rPr>
          <w:rFonts w:ascii="Times New Roman" w:hAnsi="Times New Roman" w:cs="Times New Roman" w:eastAsia="宋体"/>
          <w:b w:val="0"/>
          <w:i w:val="0"/>
          <w:color w:val="000000"/>
          <w:sz w:val="24"/>
        </w:rPr>
        <w:t>；孙广威等针对矢量推进 ROV 提出了兼顾推力约束与分配效率的多级推力分配策略，在多推进器协调与能耗控制方面取得了良好效果</w:t>
      </w:r>
      <w:hyperlink w:anchor="_Ref_Paper_17" w:history="1">
        <w:r>
          <w:rPr>
            <w:rFonts w:ascii="Times New Roman" w:hAnsi="Times New Roman" w:cs="Times New Roman" w:eastAsia="宋体"/>
            <w:sz w:val="24"/>
            <w:szCs w:val="24"/>
            <w:color w:val="000000"/>
            <w:vertAlign w:val="superscript"/>
          </w:rPr>
          <w:t>[17]</w:t>
        </w:r>
      </w:hyperlink>
      <w:r>
        <w:rPr>
          <w:rFonts w:ascii="Times New Roman" w:hAnsi="Times New Roman" w:cs="Times New Roman" w:eastAsia="宋体"/>
          <w:b w:val="0"/>
          <w:i w:val="0"/>
          <w:color w:val="000000"/>
          <w:sz w:val="24"/>
        </w:rPr>
        <w:t xml:space="preserve">。由此可见，根据已有八推进器平台的空间安装位置、推力矢量方向及力臂关系，准确建立反映平台真实几何构型的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控制分配矩阵，并在求解流程中合理考虑推进器基本推力输出范围约束，是连接上层闭环运动控制器与底层执行机构的核心纽带。</w:t>
      </w:r>
    </w:p>
    <w:p>
      <w:pPr>
        <w:pStyle w:val="a7"/>
        <w:jc w:val="both"/>
        <w:spacing w:line="360" w:lineRule="auto"/>
        <w:ind w:firstLineChars="200" w:firstLine="480"/>
      </w:pPr>
      <w:r>
        <w:rPr>
          <w:rFonts w:ascii="Times New Roman" w:hAnsi="Times New Roman" w:cs="Times New Roman" w:eastAsia="黑体"/>
          <w:b w:val="0"/>
          <w:i w:val="0"/>
          <w:color w:val="000000"/>
          <w:sz w:val="24"/>
        </w:rPr>
        <w:t>（4）基于开源软件架构（PX4）的水下航行器闭环仿真研究现状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现代机器人与自主无人系统的研发流程中，控制算法的软件工程实现规范与闭环仿真验证平台扮演着重要角色。传统的离线仿真研究多基于纯数学脚本编写，虽然便于验证控制方程的理论收敛性，但脱离了嵌入式实时操作系统（RTOS）的多任务并发调度、进程间异步通信以及离散采样周期等软件工程约束，导致研究成果向实验平台移植时往往面临较大的软件重构工作量。</w:t>
      </w:r>
    </w:p>
    <w:p>
      <w:pPr>
        <w:pStyle w:val="a7"/>
        <w:jc w:val="both"/>
        <w:spacing w:line="360" w:lineRule="auto"/>
        <w:ind w:firstLineChars="200" w:firstLine="480"/>
      </w:pPr>
      <w:r>
        <w:rPr>
          <w:rFonts w:ascii="Times New Roman" w:hAnsi="Times New Roman" w:cs="Times New Roman" w:eastAsia="宋体"/>
          <w:b w:val="0"/>
          <w:i w:val="0"/>
          <w:color w:val="000000"/>
          <w:sz w:val="24"/>
        </w:rPr>
        <w:t>苏黎世联邦理工学院（ETH Zurich）Meier 等主导研发的 PX4 Autopilot 软件框架是当前无人系统领域广泛应用的开源嵌入式控制软件框架之一</w:t>
      </w:r>
      <w:hyperlink w:anchor="_Ref_Paper_18" w:history="1">
        <w:r>
          <w:rPr>
            <w:rFonts w:ascii="Times New Roman" w:hAnsi="Times New Roman" w:cs="Times New Roman" w:eastAsia="宋体"/>
            <w:sz w:val="24"/>
            <w:szCs w:val="24"/>
            <w:color w:val="000000"/>
            <w:vertAlign w:val="superscript"/>
          </w:rPr>
          <w:t>[18]</w:t>
        </w:r>
      </w:hyperlink>
      <w:r>
        <w:rPr>
          <w:rFonts w:ascii="Times New Roman" w:hAnsi="Times New Roman" w:cs="Times New Roman" w:eastAsia="宋体"/>
          <w:b w:val="0"/>
          <w:i w:val="0"/>
          <w:color w:val="000000"/>
          <w:sz w:val="24"/>
        </w:rPr>
        <w:t>。PX4 采用了“算法模块层与系统中间件层”解耦的架构设计，底层支持 NuttX 实时操作系统与 POSIX 环境，核心数据链路依托基于共享内存的微对象请求代理（uORB）异步发布/订阅总线构建。在 PX4 架构中，状态估计、运动控制计算与执行器控制分配被划分为独立的功能模块，各模块仅通过带有微秒级时间戳的 uORB 消息进行数据交互。同时，PX4 原生支持软件在环（SITL）编译与运行，使得 C++ 控制与分配模块能够在计算机端按接近实机的调度机制运行，并通过标准消息接口与六自由度动力学仿真模型构成闭环，配合 ULog 日志工具记录各项状态与控制分配数据。</w:t>
      </w:r>
    </w:p>
    <w:p>
      <w:pPr>
        <w:pStyle w:val="a7"/>
        <w:jc w:val="both"/>
        <w:spacing w:line="360" w:lineRule="auto"/>
        <w:ind w:firstLineChars="200" w:firstLine="480"/>
      </w:pPr>
      <w:r>
        <w:rPr>
          <w:rFonts w:ascii="Times New Roman" w:hAnsi="Times New Roman" w:cs="Times New Roman" w:eastAsia="宋体"/>
          <w:b w:val="0"/>
          <w:i w:val="0"/>
          <w:color w:val="000000"/>
          <w:sz w:val="24"/>
        </w:rPr>
        <w:t>最初，PX4 主要针对空中多旋翼与固定翼飞行器进行设计。凭借其模块化的控制分配架构与良好的可扩展性，近年来国内外研究团队开始将 PX4 引入水下无人航行器研究领域。德国汉堡工业大学 Hackbarth、Kreuzer 等基于 PX4 架构成功研制了 HippoCampus 微型水下航行器，验证了复用 PX4 模块化控制架构开展水下机器人姿态控制的可行性</w:t>
      </w:r>
      <w:hyperlink w:anchor="_Ref_Paper_19" w:history="1">
        <w:r>
          <w:rPr>
            <w:rFonts w:ascii="Times New Roman" w:hAnsi="Times New Roman" w:cs="Times New Roman" w:eastAsia="宋体"/>
            <w:sz w:val="24"/>
            <w:szCs w:val="24"/>
            <w:color w:val="000000"/>
            <w:vertAlign w:val="superscript"/>
          </w:rPr>
          <w:t>[19]</w:t>
        </w:r>
      </w:hyperlink>
      <w:r>
        <w:rPr>
          <w:rFonts w:ascii="Times New Roman" w:hAnsi="Times New Roman" w:cs="Times New Roman" w:eastAsia="宋体"/>
          <w:b w:val="0"/>
          <w:i w:val="0"/>
          <w:color w:val="000000"/>
          <w:sz w:val="24"/>
        </w:rPr>
        <w:t>；随后，Duecker 等进一步推出了改进型开源水下平台 HippoCampus X，依托基于 PX4 的软件在环仿真与水池实验完成了受限水域下的三维机动控制验证，证实了基于 PX4/SITL 构建水下航行器闭环仿真与控制验证体系的工程合理性</w:t>
      </w:r>
      <w:hyperlink w:anchor="_Ref_Paper_20" w:history="1">
        <w:r>
          <w:rPr>
            <w:rFonts w:ascii="Times New Roman" w:hAnsi="Times New Roman" w:cs="Times New Roman" w:eastAsia="宋体"/>
            <w:sz w:val="24"/>
            <w:szCs w:val="24"/>
            <w:color w:val="000000"/>
            <w:vertAlign w:val="superscript"/>
          </w:rPr>
          <w:t>[20]</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黑体"/>
          <w:b w:val="0"/>
          <w:i w:val="0"/>
          <w:color w:val="000000"/>
          <w:sz w:val="24"/>
        </w:rPr>
        <w:t>（5）发展趋势与对本课题的启示</w:t>
      </w:r>
    </w:p>
    <w:p>
      <w:pPr>
        <w:pStyle w:val="a7"/>
        <w:jc w:val="both"/>
        <w:spacing w:line="360" w:lineRule="auto"/>
        <w:ind w:firstLineChars="200" w:firstLine="480"/>
      </w:pPr>
      <w:r>
        <w:rPr>
          <w:rFonts w:ascii="Times New Roman" w:hAnsi="Times New Roman" w:cs="Times New Roman" w:eastAsia="宋体"/>
          <w:b w:val="0"/>
          <w:i w:val="0"/>
          <w:color w:val="000000"/>
          <w:sz w:val="24"/>
        </w:rPr>
        <w:t>为清晰梳理现有水下航行器运动控制与推力分配代表性方案的技术特点，现将国内外主流方案与本课题拟采取的研究方案归纳对比如下（见表 1）：</w:t>
      </w:r>
    </w:p>
    <w:p>
      <w:pPr>
        <w:jc w:val="center"/>
        <w:spacing w:line="240" w:lineRule="auto" w:beforeLines="50" w:before="120"/>
        <w:ind w:firstLine="0" w:firstLineChars="0" w:left="0"/>
      </w:pPr>
      <w:r>
        <w:rPr>
          <w:rFonts w:ascii="Times New Roman" w:hAnsi="Times New Roman" w:cs="Times New Roman" w:eastAsia="宋体"/>
          <w:b/>
          <w:i w:val="0"/>
          <w:color w:val="000000"/>
          <w:sz w:val="21"/>
        </w:rPr>
        <w:t>表 1  水下航行器典型运动控制与推力分配方案对比分析</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rPr>
          <w:tblHeader/>
          <w:cantSplit/>
        </w:trPr>
        <w:tc>
          <w:tcPr>
            <w:tcW w:type="dxa" w:w="1304"/>
            <w:vAlign w:val="center"/>
          </w:tcPr>
          <w:p>
            <w:pPr>
              <w:spacing w:before="40" w:after="40" w:line="288" w:lineRule="auto"/>
              <w:ind w:firstLine="0"/>
              <w:jc w:val="center"/>
            </w:pPr>
            <w:r/>
            <w:r>
              <w:rPr>
                <w:rFonts w:ascii="Times New Roman" w:hAnsi="Times New Roman" w:cs="Times New Roman" w:eastAsia="黑体"/>
                <w:b/>
                <w:i w:val="0"/>
                <w:color w:val="000000"/>
                <w:sz w:val="19"/>
              </w:rPr>
              <w:t>方案类别</w:t>
            </w:r>
          </w:p>
        </w:tc>
        <w:tc>
          <w:tcPr>
            <w:tcW w:type="dxa" w:w="850"/>
            <w:vAlign w:val="center"/>
          </w:tcPr>
          <w:p>
            <w:pPr>
              <w:spacing w:before="40" w:after="40" w:line="288" w:lineRule="auto"/>
              <w:ind w:firstLine="0"/>
              <w:jc w:val="center"/>
            </w:pPr>
            <w:r/>
            <w:r>
              <w:rPr>
                <w:rFonts w:ascii="Times New Roman" w:hAnsi="Times New Roman" w:cs="Times New Roman" w:eastAsia="黑体"/>
                <w:b/>
                <w:i w:val="0"/>
                <w:color w:val="000000"/>
                <w:sz w:val="19"/>
              </w:rPr>
              <w:t>代表性文献</w:t>
            </w:r>
          </w:p>
        </w:tc>
        <w:tc>
          <w:tcPr>
            <w:tcW w:type="dxa" w:w="1814"/>
            <w:vAlign w:val="center"/>
          </w:tcPr>
          <w:p>
            <w:pPr>
              <w:spacing w:before="40" w:after="40" w:line="288" w:lineRule="auto"/>
              <w:ind w:firstLine="0"/>
              <w:jc w:val="center"/>
            </w:pPr>
            <w:r/>
            <w:r>
              <w:rPr>
                <w:rFonts w:ascii="Times New Roman" w:hAnsi="Times New Roman" w:cs="Times New Roman" w:eastAsia="黑体"/>
                <w:b/>
                <w:i w:val="0"/>
                <w:color w:val="000000"/>
                <w:sz w:val="19"/>
              </w:rPr>
              <w:t>模型信息利用方式</w:t>
            </w:r>
          </w:p>
        </w:tc>
        <w:tc>
          <w:tcPr>
            <w:tcW w:type="dxa" w:w="1531"/>
            <w:vAlign w:val="center"/>
          </w:tcPr>
          <w:p>
            <w:pPr>
              <w:spacing w:before="40" w:after="40" w:line="288" w:lineRule="auto"/>
              <w:ind w:firstLine="0"/>
              <w:jc w:val="center"/>
            </w:pPr>
            <w:r/>
            <w:r>
              <w:rPr>
                <w:rFonts w:ascii="Times New Roman" w:hAnsi="Times New Roman" w:cs="Times New Roman" w:eastAsia="黑体"/>
                <w:b/>
                <w:i w:val="0"/>
                <w:color w:val="000000"/>
                <w:sz w:val="19"/>
              </w:rPr>
              <w:t>推力分配与约束处理</w:t>
            </w:r>
          </w:p>
        </w:tc>
        <w:tc>
          <w:tcPr>
            <w:tcW w:type="dxa" w:w="1474"/>
            <w:vAlign w:val="center"/>
          </w:tcPr>
          <w:p>
            <w:pPr>
              <w:spacing w:before="40" w:after="40" w:line="288" w:lineRule="auto"/>
              <w:ind w:firstLine="0"/>
              <w:jc w:val="center"/>
            </w:pPr>
            <w:r/>
            <w:r>
              <w:rPr>
                <w:rFonts w:ascii="Times New Roman" w:hAnsi="Times New Roman" w:cs="Times New Roman" w:eastAsia="黑体"/>
                <w:b/>
                <w:i w:val="0"/>
                <w:color w:val="000000"/>
                <w:sz w:val="19"/>
              </w:rPr>
              <w:t>软件实现与验证环境</w:t>
            </w:r>
          </w:p>
        </w:tc>
        <w:tc>
          <w:tcPr>
            <w:tcW w:type="dxa" w:w="1757"/>
            <w:vAlign w:val="center"/>
          </w:tcPr>
          <w:p>
            <w:pPr>
              <w:spacing w:before="40" w:after="40" w:line="288" w:lineRule="auto"/>
              <w:ind w:firstLine="0"/>
              <w:jc w:val="center"/>
            </w:pPr>
            <w:r/>
            <w:r>
              <w:rPr>
                <w:rFonts w:ascii="Times New Roman" w:hAnsi="Times New Roman" w:cs="Times New Roman" w:eastAsia="黑体"/>
                <w:b/>
                <w:i w:val="0"/>
                <w:color w:val="000000"/>
                <w:sz w:val="19"/>
              </w:rPr>
              <w:t>主要优势与局限性</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rPr>
              <w:t>传统无模型反馈控制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[1]</w:t>
            </w:r>
            <w:r>
              <w:rPr>
                <w:rFonts w:ascii="Times New Roman" w:hAnsi="Times New Roman" w:cs="Times New Roman" w:eastAsia="宋体"/>
                <w:b w:val="0"/>
                <w:i w:val="0"/>
                <w:color w:val="000000"/>
                <w:sz w:val="19"/>
              </w:rPr>
              <w:t xml:space="preserve">, </w:t>
            </w:r>
            <w:r>
              <w:rPr>
                <w:rFonts w:ascii="Times New Roman" w:hAnsi="Times New Roman" w:cs="Times New Roman" w:eastAsia="宋体"/>
                <w:b w:val="0"/>
                <w:i w:val="0"/>
                <w:color w:val="000000"/>
                <w:sz w:val="19"/>
              </w:rPr>
              <w:t>[8]</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不依赖动力学模型，仅利用状态跟踪误差（单回路/串级 PID）</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固定比例混控或无约束伪逆直接截断</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纯数值脚本或基础飞控固件</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结构简单、易于工程初调；但忽略多轴水动力耦合与非线性恢复力矩，大机动与流扰下易超调</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rPr>
              <w:t>全状态解析模型控制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[9]</w:t>
            </w:r>
            <w:r>
              <w:rPr>
                <w:rFonts w:ascii="Times New Roman" w:hAnsi="Times New Roman" w:cs="Times New Roman" w:eastAsia="宋体"/>
                <w:b w:val="0"/>
                <w:i w:val="0"/>
                <w:color w:val="000000"/>
                <w:sz w:val="19"/>
              </w:rPr>
              <w:t xml:space="preserve">, </w:t>
            </w:r>
            <w:r>
              <w:rPr>
                <w:rFonts w:ascii="Times New Roman" w:hAnsi="Times New Roman" w:cs="Times New Roman" w:eastAsia="宋体"/>
                <w:b w:val="0"/>
                <w:i w:val="0"/>
                <w:color w:val="000000"/>
                <w:sz w:val="19"/>
              </w:rPr>
              <w:t>[10]</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依赖完整六自由度水动力解析模型进行状态重构或前馈自适应抵消</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伪逆分配或结合执行器动态补偿</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离线数学仿真（如 MATLAB）与专用水池测试</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理论解耦与跟踪精度高；但对开架式 ROV 全套水动力参数的先验建模精度要求较高</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val="0"/>
                <w:i w:val="0"/>
                <w:color w:val="000000"/>
                <w:sz w:val="19"/>
              </w:rPr>
              <w:t>局部增量/动态逆控制</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[11]</w:t>
            </w:r>
            <w:r>
              <w:rPr>
                <w:rFonts w:ascii="Times New Roman" w:hAnsi="Times New Roman" w:cs="Times New Roman" w:eastAsia="宋体"/>
                <w:b w:val="0"/>
                <w:i w:val="0"/>
                <w:color w:val="000000"/>
                <w:sz w:val="19"/>
              </w:rPr>
              <w:t xml:space="preserve">, </w:t>
            </w:r>
            <w:r>
              <w:rPr>
                <w:rFonts w:ascii="Times New Roman" w:hAnsi="Times New Roman" w:cs="Times New Roman" w:eastAsia="宋体"/>
                <w:b w:val="0"/>
                <w:i w:val="0"/>
                <w:color w:val="000000"/>
                <w:sz w:val="19"/>
              </w:rPr>
              <w:t>[12]</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结合局部控制效能模型与高频角加速度/状态差分反馈补偿不确定性</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伪逆分配或加权伪逆分配</w:t>
            </w:r>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ROS/Gazebo 仿真与定制嵌入式节点</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对慢变水动力阻尼参数不敏感、高频抗扰较好；但对传感器滤波同步与分配矩阵准确性敏感</w:t>
            </w:r>
          </w:p>
        </w:tc>
      </w:tr>
      <w:tr>
        <w:trPr>
          <w:cantSplit/>
        </w:trPr>
        <w:tc>
          <w:tcPr>
            <w:tcW w:type="dxa" w:w="1304"/>
            <w:vAlign w:val="center"/>
          </w:tcPr>
          <w:p>
            <w:pPr>
              <w:spacing w:before="40" w:after="40" w:line="288" w:lineRule="auto"/>
              <w:ind w:firstLine="0"/>
              <w:jc w:val="center"/>
            </w:pPr>
            <w:r/>
            <w:r>
              <w:rPr>
                <w:rFonts w:ascii="Times New Roman" w:hAnsi="Times New Roman" w:cs="Times New Roman" w:eastAsia="宋体"/>
                <w:b/>
                <w:i w:val="0"/>
                <w:color w:val="000000"/>
                <w:sz w:val="19"/>
              </w:rPr>
              <w:t>本课题研究方案</w:t>
            </w:r>
          </w:p>
        </w:tc>
        <w:tc>
          <w:tcPr>
            <w:tcW w:type="dxa" w:w="850"/>
            <w:vAlign w:val="center"/>
          </w:tcPr>
          <w:p>
            <w:pPr>
              <w:spacing w:before="40" w:after="40" w:line="288" w:lineRule="auto"/>
              <w:ind w:firstLine="0"/>
              <w:jc w:val="center"/>
            </w:pPr>
            <w:r/>
            <w:r>
              <w:rPr>
                <w:rFonts w:ascii="Times New Roman" w:hAnsi="Times New Roman" w:cs="Times New Roman" w:eastAsia="宋体"/>
                <w:b w:val="0"/>
                <w:i w:val="0"/>
                <w:color w:val="000000"/>
                <w:sz w:val="19"/>
              </w:rPr>
              <w:t>—</w:t>
            </w:r>
          </w:p>
        </w:tc>
        <w:tc>
          <w:tcPr>
            <w:tcW w:type="dxa" w:w="1814"/>
            <w:vAlign w:val="center"/>
          </w:tcPr>
          <w:p>
            <w:pPr>
              <w:spacing w:before="40" w:after="40" w:line="288" w:lineRule="auto"/>
              <w:ind w:firstLine="0"/>
              <w:jc w:val="left"/>
            </w:pPr>
            <w:r/>
            <w:r>
              <w:rPr>
                <w:rFonts w:ascii="Times New Roman" w:hAnsi="Times New Roman" w:cs="Times New Roman" w:eastAsia="宋体"/>
                <w:b w:val="0"/>
                <w:i w:val="0"/>
                <w:color w:val="000000"/>
                <w:sz w:val="19"/>
              </w:rPr>
              <w:t xml:space="preserve">机理建模与数据辨识相结合获取标称模型 </w:t>
            </w:r>
            <m:oMath>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m:t>
              </m:r>
            </m:oMath>
            <w:r>
              <w:rPr>
                <w:rFonts w:ascii="Times New Roman" w:hAnsi="Times New Roman" w:cs="Times New Roman" w:eastAsia="宋体"/>
                <w:b w:val="0"/>
                <w:i w:val="0"/>
                <w:color w:val="000000"/>
                <w:sz w:val="19"/>
              </w:rPr>
              <w:t>，模型特性补偿与实时状态反馈相结合</w:t>
            </w:r>
          </w:p>
        </w:tc>
        <w:tc>
          <w:tcPr>
            <w:tcW w:type="dxa" w:w="1531"/>
            <w:vAlign w:val="center"/>
          </w:tcPr>
          <w:p>
            <w:pPr>
              <w:spacing w:before="40" w:after="40" w:line="288" w:lineRule="auto"/>
              <w:ind w:firstLine="0"/>
              <w:jc w:val="left"/>
            </w:pPr>
            <w:r/>
            <w:r>
              <w:rPr>
                <w:rFonts w:ascii="Times New Roman" w:hAnsi="Times New Roman" w:cs="Times New Roman" w:eastAsia="宋体"/>
                <w:b w:val="0"/>
                <w:i w:val="0"/>
                <w:color w:val="000000"/>
                <w:sz w:val="19"/>
              </w:rPr>
              <w:t xml:space="preserve">建立八推进器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19"/>
              </w:rPr>
              <w:t xml:space="preserve"> 控制分配矩阵 </w:t>
            </w:r>
            <m:oMath>
              <m:r>
                <m:rPr>
                  <m:sty m:val="bi"/>
                </m:rPr>
                <w:rPr>
                  <w:rFonts w:ascii="Cambria Math" w:hAnsi="Cambria Math" w:eastAsia="宋体"/>
                  <w:sz w:val="24"/>
                  <w:szCs w:val="24"/>
                </w:rPr>
                <m:t>B</m:t>
              </m:r>
            </m:oMath>
            <w:r>
              <w:rPr>
                <w:rFonts w:ascii="Times New Roman" w:hAnsi="Times New Roman" w:cs="Times New Roman" w:eastAsia="宋体"/>
                <w:b w:val="0"/>
                <w:i w:val="0"/>
                <w:color w:val="000000"/>
                <w:sz w:val="19"/>
              </w:rPr>
              <w:t xml:space="preserve">，考虑基本推力输出范围约束 </w:t>
            </w:r>
            <m:oMath>
              <m:r>
                <m:rPr>
                  <m:sty m:val="p"/>
                </m:rPr>
                <w:rPr>
                  <w:rFonts w:ascii="Cambria Math" w:hAnsi="Cambria Math" w:eastAsia="宋体"/>
                  <w:sz w:val="24"/>
                  <w:szCs w:val="24"/>
                </w:rPr>
                <m:t>[</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m:t>
              </m:r>
            </m:oMath>
          </w:p>
        </w:tc>
        <w:tc>
          <w:tcPr>
            <w:tcW w:type="dxa" w:w="1474"/>
            <w:vAlign w:val="center"/>
          </w:tcPr>
          <w:p>
            <w:pPr>
              <w:spacing w:before="40" w:after="40" w:line="288" w:lineRule="auto"/>
              <w:ind w:firstLine="0"/>
              <w:jc w:val="left"/>
            </w:pPr>
            <w:r/>
            <w:r>
              <w:rPr>
                <w:rFonts w:ascii="Times New Roman" w:hAnsi="Times New Roman" w:cs="Times New Roman" w:eastAsia="宋体"/>
                <w:b w:val="0"/>
                <w:i w:val="0"/>
                <w:color w:val="000000"/>
                <w:sz w:val="19"/>
              </w:rPr>
              <w:t>基于 PX4 架构与 uORB 总线的 SITL 软件在环闭环仿真</w:t>
            </w:r>
          </w:p>
        </w:tc>
        <w:tc>
          <w:tcPr>
            <w:tcW w:type="dxa" w:w="1757"/>
            <w:vAlign w:val="center"/>
          </w:tcPr>
          <w:p>
            <w:pPr>
              <w:spacing w:before="40" w:after="40" w:line="288" w:lineRule="auto"/>
              <w:ind w:firstLine="0"/>
              <w:jc w:val="left"/>
            </w:pPr>
            <w:r/>
            <w:r>
              <w:rPr>
                <w:rFonts w:ascii="Times New Roman" w:hAnsi="Times New Roman" w:cs="Times New Roman" w:eastAsia="宋体"/>
                <w:b w:val="0"/>
                <w:i w:val="0"/>
                <w:color w:val="000000"/>
                <w:sz w:val="19"/>
              </w:rPr>
              <w:t>兼顾物理模型可解释性与状态反馈稳健性，保留具体控制算法横向比选空间，软件架构标准化</w:t>
            </w:r>
          </w:p>
        </w:tc>
      </w:tr>
    </w:tbl>
    <w:p>
      <w:pPr>
        <w:pStyle w:val="a7"/>
        <w:jc w:val="both"/>
        <w:spacing w:line="360" w:lineRule="auto"/>
        <w:ind w:firstLineChars="200" w:firstLine="480"/>
      </w:pPr>
      <w:r>
        <w:rPr>
          <w:rFonts w:ascii="Times New Roman" w:hAnsi="Times New Roman" w:cs="Times New Roman" w:eastAsia="宋体"/>
          <w:b w:val="0"/>
          <w:i w:val="0"/>
          <w:color w:val="000000"/>
          <w:sz w:val="24"/>
        </w:rPr>
        <w:t>综合上述四个领域的研究现状与表 1 对比分析，可以提炼出当前水下无人航行器控制领域的发展趋势与对本课题的关键启示：一是系统研发呈现出机理建模、数据辨识、模型控制、推力分配与飞控闭环仿真全链路协同推进的发展趋势；二是在水下非线性不确定性与流扰背景下，盲目追求结构过于复杂的强自适应或过度拘泥于某一种先验假设严苛的单一算法，容易在实际水流工况下出现鲁棒性不足；稳健且具工程可行性的方法，是以经验证的标称模型为基石，结合系统状态反馈构建通用且弹性的控制律框架，为后续结合实际辨识结果展开方法比选留出充分的方法比选空间与算法拓展余地；三是依托成熟的开源自主系统飞控架构（如 PX4）及其 SITL 软件在环仿真机制，已成为连接理论算法设计与实物水下平台部署的关键工程纽带与验证平台。基于上述启示，本课题确立了以已有八推进器水下航行器为对象，系统推进六自由度动力学与推进器建模、基于相关数据的系统辨识与模型验证、基于模型和状态反馈的运动控制设计、八推进器控制分配以及基于 PX4/SITL 的闭环仿真验证研究，研究目标明确，技术路线清晰可行，具有扎实的学术支撑与良好的工程应用前景。</w:t>
      </w: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二、毕业论文方案介绍</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1． 主要研究内容</w:t>
      </w:r>
    </w:p>
    <w:p>
      <w:pPr>
        <w:pStyle w:val="a7"/>
        <w:jc w:val="both"/>
        <w:spacing w:line="360" w:lineRule="auto"/>
        <w:ind w:firstLineChars="200" w:firstLine="480"/>
      </w:pPr>
      <w:r>
        <w:rPr>
          <w:rFonts w:ascii="Times New Roman" w:hAnsi="Times New Roman" w:cs="Times New Roman" w:eastAsia="黑体"/>
          <w:b w:val="0"/>
          <w:i w:val="0"/>
          <w:color w:val="000000"/>
          <w:sz w:val="24"/>
        </w:rPr>
        <w:t>（1）预期研究目标</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本课题依托已有八推进器水下航行器平台，建立能够反映航行器主要动态特性的六自由度动力学模型与推进器模型，结合平台参数资料和相关数据完成系统辨识与模型验证；在此基础上研究基于航行器模型和状态反馈的闭环运动控制方法及八推进器控制分配方案，并在PX4/SITL环境下构建完整闭环仿真系统，完成典型运动工况与适量外部扰动工况下的仿真验证与性能分析，形成“已有平台—建模与系统辨识—模型验证—运动控制—控制分配—PX4/SITL闭环验证”的完整研究闭环与论文写作主线。</w:t>
      </w:r>
    </w:p>
    <w:p>
      <w:pPr>
        <w:pStyle w:val="a7"/>
        <w:jc w:val="both"/>
        <w:spacing w:line="360" w:lineRule="auto"/>
        <w:ind w:firstLineChars="200" w:firstLine="480"/>
      </w:pPr>
      <w:r>
        <w:rPr>
          <w:rFonts w:ascii="Times New Roman" w:hAnsi="Times New Roman" w:cs="Times New Roman" w:eastAsia="黑体"/>
          <w:b w:val="0"/>
          <w:i w:val="0"/>
          <w:color w:val="000000"/>
          <w:sz w:val="24"/>
        </w:rPr>
        <w:t>（2）研究内容要点</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围绕上述研究目标与后续毕业论文的核心章节脉络，本课题应完成的主要研究内容与拟解决的关键问题包括以下四个方面：</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1）水下航行器动力学与推进器建模（对应理论模型构建基础）：</w:t>
      </w:r>
      <w:r>
        <w:rPr>
          <w:rFonts w:ascii="Times New Roman" w:hAnsi="Times New Roman" w:cs="Times New Roman" w:eastAsia="宋体"/>
          <w:b w:val="0"/>
          <w:i w:val="0"/>
          <w:color w:val="000000"/>
          <w:sz w:val="24"/>
          <w:highlight w:val="yellow"/>
        </w:rPr>
        <w:t>依托已有八推进器水下航行器平台，梳理其机械构型与推进器三维几何布局，建立六自由度运动学与非线性动力学模型，系统考虑刚体惯性、水动力附加质量、科氏向心力、线性和二次非线性水动力阻尼以及重浮力恢复力矩等主导物理效应；结合已有平台推进器电气与流体特性，建立单推进器控制输入到推力输出的静态映射与必要动态模型，为系统辨识、控制设计与仿真提供可靠的模型基础。</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2）系统辨识与模型验证分析（对应模型参数获取与精度核准）：</w:t>
      </w:r>
      <w:r>
        <w:rPr>
          <w:rFonts w:ascii="Times New Roman" w:hAnsi="Times New Roman" w:cs="Times New Roman" w:eastAsia="宋体"/>
          <w:b w:val="0"/>
          <w:i w:val="0"/>
          <w:color w:val="000000"/>
          <w:sz w:val="24"/>
          <w:highlight w:val="yellow"/>
        </w:rPr>
        <w:t>在理论动力学模型基础上，分析各自由度动力学方程中未知参数的可辨识性，明确系统辨识的激励输入、状态响应输出及所需数据关系；结合已有平台参数资料和相关测试/仿真动态响应数据开展系统参数辨识，对水动力附加质量与阻尼等关键未知量进行估计与修正；通过代表性动态响应对比模型输出与测试数据，量化评估模型拟合误差与残差分布，明确标称模型的物理保真度与工程适用范围。</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3）模型运动控制与八推进器控制分配（对应控制算法与执行器解算）：</w:t>
      </w:r>
      <w:r>
        <w:rPr>
          <w:rFonts w:ascii="Times New Roman" w:hAnsi="Times New Roman" w:cs="Times New Roman" w:eastAsia="宋体"/>
          <w:b w:val="0"/>
          <w:i w:val="0"/>
          <w:color w:val="000000"/>
          <w:sz w:val="24"/>
          <w:highlight w:val="yellow"/>
        </w:rPr>
        <w:t xml:space="preserve">以经验证的航行器标称模型为基石，结合动力学已知特性补偿与实时状态反馈构建闭环运动控制律，输出机体期望的六自由度广义力和力矩，实现姿态、深度和航向等基本运动状态的闭环稳定跟踪，并考察模型不确定性与外部扰动对控制品质的影响；根据已有平台推进器空间安装位置与推力方向矢量构建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控制分配矩阵，系统考虑推进器物理输出范围约束生成各推进器推力指令，量化分析控制分配误差与推力饱和情况。</w:t>
      </w:r>
    </w:p>
    <w:p>
      <w:pPr>
        <w:pStyle w:val="a7"/>
        <w:jc w:val="both"/>
        <w:spacing w:line="360" w:lineRule="auto"/>
        <w:ind w:firstLineChars="200" w:firstLine="480"/>
      </w:pPr>
      <w:r>
        <w:rPr>
          <w:rFonts w:ascii="Times New Roman" w:hAnsi="Times New Roman" w:cs="Times New Roman" w:eastAsia="宋体"/>
          <w:b/>
          <w:i w:val="0"/>
          <w:color w:val="000000"/>
          <w:sz w:val="24"/>
          <w:highlight w:val="yellow"/>
        </w:rPr>
        <w:t>4）PX4/SITL 闭环仿真与系统验证（对应软件在环集成与多工况评价）：</w:t>
      </w:r>
      <w:r>
        <w:rPr>
          <w:rFonts w:ascii="Times New Roman" w:hAnsi="Times New Roman" w:cs="Times New Roman" w:eastAsia="宋体"/>
          <w:b w:val="0"/>
          <w:i w:val="0"/>
          <w:color w:val="000000"/>
          <w:sz w:val="24"/>
          <w:highlight w:val="yellow"/>
        </w:rPr>
        <w:t>在 PX4/SITL 仿真环境中构建由航行器动力学模型、运动控制模块和八推进器控制分配模块组成的闭环仿真系统，依托 uORB 异步微消息总线完成位姿状态、期望力矩与推进器控制指令的高频实时交互；设置空间定点悬停、定深控制、航向锁定及复杂三维运动轨迹等典型工况，并施加外部水流干扰，综合位置/姿态跟踪误差、动态响应指标及控制分配残差开展系统性定量性能评估。</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2． 研究方案</w:t>
      </w:r>
    </w:p>
    <w:p>
      <w:pPr>
        <w:pStyle w:val="a7"/>
        <w:jc w:val="both"/>
        <w:spacing w:line="360" w:lineRule="auto"/>
        <w:ind w:firstLineChars="200" w:firstLine="480"/>
      </w:pPr>
      <w:r>
        <w:rPr>
          <w:rFonts w:ascii="Times New Roman" w:hAnsi="Times New Roman" w:cs="Times New Roman" w:eastAsia="黑体"/>
          <w:b w:val="0"/>
          <w:i w:val="0"/>
          <w:color w:val="000000"/>
          <w:sz w:val="24"/>
        </w:rPr>
        <w:t>（1）拟采取的研究方法</w:t>
      </w:r>
    </w:p>
    <w:p>
      <w:pPr>
        <w:pStyle w:val="a7"/>
        <w:jc w:val="both"/>
        <w:spacing w:line="360" w:lineRule="auto"/>
        <w:ind w:firstLineChars="200" w:firstLine="480"/>
      </w:pPr>
      <w:r>
        <w:rPr>
          <w:rFonts w:ascii="Times New Roman" w:hAnsi="Times New Roman" w:cs="Times New Roman" w:eastAsia="宋体"/>
          <w:b w:val="0"/>
          <w:i w:val="0"/>
          <w:color w:val="000000"/>
          <w:sz w:val="24"/>
        </w:rPr>
        <w:t>本课题采用理论机理建模、数据驱动参数辨识、基于模型与状态反馈的控制设计、受约束控制分配求解以及软件在环闭环仿真相结合的研究方法，在明确总体技术框架的同时，为各模块具体算法形式的比选与优化留出合理空间：</w:t>
      </w:r>
    </w:p>
    <w:p>
      <w:pPr>
        <w:pStyle w:val="a7"/>
        <w:jc w:val="both"/>
        <w:spacing w:line="360" w:lineRule="auto"/>
        <w:ind w:firstLineChars="200" w:firstLine="480"/>
      </w:pPr>
      <w:r>
        <w:rPr>
          <w:rFonts w:ascii="Times New Roman" w:hAnsi="Times New Roman" w:cs="Times New Roman" w:eastAsia="宋体"/>
          <w:b/>
          <w:i w:val="0"/>
          <w:color w:val="000000"/>
          <w:sz w:val="24"/>
        </w:rPr>
        <w:t>1）六自由度动力学与推进器建模方法：</w:t>
      </w:r>
      <w:r>
        <w:rPr>
          <w:rFonts w:ascii="Times New Roman" w:hAnsi="Times New Roman" w:cs="Times New Roman" w:eastAsia="宋体"/>
          <w:b w:val="0"/>
          <w:i w:val="0"/>
          <w:color w:val="000000"/>
          <w:sz w:val="24"/>
          <w:highlight w:val="yellow"/>
        </w:rPr>
        <w:t>如图 2 所示，</w:t>
      </w:r>
      <w:r>
        <w:rPr>
          <w:rFonts w:ascii="Times New Roman" w:hAnsi="Times New Roman" w:cs="Times New Roman" w:eastAsia="宋体"/>
          <w:b w:val="0"/>
          <w:i w:val="0"/>
          <w:color w:val="000000"/>
          <w:sz w:val="24"/>
        </w:rPr>
        <w:t xml:space="preserve">建立北东地惯性坐标系 </w:t>
      </w:r>
      <m:oMath>
        <m:r>
          <m:rPr>
            <m:sty m:val="p"/>
          </m:rPr>
          <w:rPr>
            <w:rFonts w:ascii="Cambria Math" w:hAnsi="Cambria Math" w:eastAsia="宋体"/>
            <w:sz w:val="24"/>
            <w:szCs w:val="24"/>
          </w:rPr>
          <m:t>{</m:t>
        </m:r>
        <m:r>
          <m:rPr>
            <m:sty m:val="i"/>
          </m:rPr>
          <w:rPr>
            <w:rFonts w:ascii="Cambria Math" w:hAnsi="Cambria Math" w:eastAsia="宋体"/>
            <w:sz w:val="24"/>
            <w:szCs w:val="24"/>
          </w:rPr>
          <m:t>n</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与附体坐标系 </w:t>
      </w:r>
      <m:oMath>
        <m:r>
          <m:rPr>
            <m:sty m:val="p"/>
          </m:rPr>
          <w:rPr>
            <w:rFonts w:ascii="Cambria Math" w:hAnsi="Cambria Math" w:eastAsia="宋体"/>
            <w:sz w:val="24"/>
            <w:szCs w:val="24"/>
          </w:rPr>
          <m:t>{</m:t>
        </m:r>
        <m:r>
          <m:rPr>
            <m:sty m:val="i"/>
          </m:rPr>
          <w:rPr>
            <w:rFonts w:ascii="Cambria Math" w:hAnsi="Cambria Math" w:eastAsia="宋体"/>
            <w:sz w:val="24"/>
            <w:szCs w:val="24"/>
          </w:rPr>
          <m:t>b</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，设航行器广义位置与姿态矢量为 </w:t>
      </w:r>
      <m:oMath>
        <m:r>
          <m:rPr>
            <m:sty m:val="bi"/>
          </m:rPr>
          <w:rPr>
            <w:rFonts w:ascii="Cambria Math" w:hAnsi="Cambria Math" w:eastAsia="宋体"/>
            <w:sz w:val="24"/>
            <w:szCs w:val="24"/>
          </w:rPr>
          <m:t>η</m:t>
        </m:r>
        <m:r>
          <m:rPr>
            <m:sty m:val="p"/>
          </m:rPr>
          <w:rPr>
            <w:rFonts w:ascii="Cambria Math" w:hAnsi="Cambria Math" w:eastAsia="宋体"/>
            <w:sz w:val="24"/>
            <w:szCs w:val="24"/>
          </w:rPr>
          <m:t> = [</m:t>
        </m:r>
        <m:r>
          <m:rPr>
            <m:sty m:val="i"/>
          </m:rPr>
          <w:rPr>
            <w:rFonts w:ascii="Cambria Math" w:hAnsi="Cambria Math" w:eastAsia="宋体"/>
            <w:sz w:val="24"/>
            <w:szCs w:val="24"/>
          </w:rPr>
          <m:t>x</m:t>
        </m:r>
        <m:r>
          <m:rPr>
            <m:sty m:val="p"/>
          </m:rPr>
          <w:rPr>
            <w:rFonts w:ascii="Cambria Math" w:hAnsi="Cambria Math" w:eastAsia="宋体"/>
            <w:sz w:val="24"/>
            <w:szCs w:val="24"/>
          </w:rPr>
          <m:t>, </m:t>
        </m:r>
        <m:r>
          <m:rPr>
            <m:sty m:val="i"/>
          </m:rPr>
          <w:rPr>
            <w:rFonts w:ascii="Cambria Math" w:hAnsi="Cambria Math" w:eastAsia="宋体"/>
            <w:sz w:val="24"/>
            <w:szCs w:val="24"/>
          </w:rPr>
          <m:t>y</m:t>
        </m:r>
        <m:r>
          <m:rPr>
            <m:sty m:val="p"/>
          </m:rPr>
          <w:rPr>
            <w:rFonts w:ascii="Cambria Math" w:hAnsi="Cambria Math" w:eastAsia="宋体"/>
            <w:sz w:val="24"/>
            <w:szCs w:val="24"/>
          </w:rPr>
          <m:t>, </m:t>
        </m:r>
        <m:r>
          <m:rPr>
            <m:sty m:val="i"/>
          </m:rPr>
          <w:rPr>
            <w:rFonts w:ascii="Cambria Math" w:hAnsi="Cambria Math" w:eastAsia="宋体"/>
            <w:sz w:val="24"/>
            <w:szCs w:val="24"/>
          </w:rPr>
          <m:t>z</m:t>
        </m:r>
        <m:r>
          <m:rPr>
            <m:sty m:val="p"/>
          </m:rPr>
          <w:rPr>
            <w:rFonts w:ascii="Cambria Math" w:hAnsi="Cambria Math" w:eastAsia="宋体"/>
            <w:sz w:val="24"/>
            <w:szCs w:val="24"/>
          </w:rPr>
          <m:t>, </m:t>
        </m:r>
        <m:r>
          <m:rPr>
            <m:sty m:val="i"/>
          </m:rPr>
          <w:rPr>
            <w:rFonts w:ascii="Cambria Math" w:hAnsi="Cambria Math" w:eastAsia="宋体"/>
            <w:sz w:val="24"/>
            <w:szCs w:val="24"/>
          </w:rPr>
          <m:t>ϕ</m:t>
        </m:r>
        <m:r>
          <m:rPr>
            <m:sty m:val="p"/>
          </m:rPr>
          <w:rPr>
            <w:rFonts w:ascii="Cambria Math" w:hAnsi="Cambria Math" w:eastAsia="宋体"/>
            <w:sz w:val="24"/>
            <w:szCs w:val="24"/>
          </w:rPr>
          <m:t>, </m:t>
        </m:r>
        <m:r>
          <m:rPr>
            <m:sty m:val="i"/>
          </m:rPr>
          <w:rPr>
            <w:rFonts w:ascii="Cambria Math" w:hAnsi="Cambria Math" w:eastAsia="宋体"/>
            <w:sz w:val="24"/>
            <w:szCs w:val="24"/>
          </w:rPr>
          <m:t>θ</m:t>
        </m:r>
        <m:r>
          <m:rPr>
            <m:sty m:val="p"/>
          </m:rPr>
          <w:rPr>
            <w:rFonts w:ascii="Cambria Math" w:hAnsi="Cambria Math" w:eastAsia="宋体"/>
            <w:sz w:val="24"/>
            <w:szCs w:val="24"/>
          </w:rPr>
          <m:t>, </m:t>
        </m:r>
        <m:r>
          <m:rPr>
            <m:sty m:val="i"/>
          </m:rPr>
          <w:rPr>
            <w:rFonts w:ascii="Cambria Math" w:hAnsi="Cambria Math" w:eastAsia="宋体"/>
            <w:sz w:val="24"/>
            <w:szCs w:val="24"/>
          </w:rPr>
          <m:t>ψ</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 xml:space="preserve">，附体系下线速度与角速度矢量为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 [</m:t>
        </m:r>
        <m:r>
          <m:rPr>
            <m:sty m:val="i"/>
          </m:rPr>
          <w:rPr>
            <w:rFonts w:ascii="Cambria Math" w:hAnsi="Cambria Math" w:eastAsia="宋体"/>
            <w:sz w:val="24"/>
            <w:szCs w:val="24"/>
          </w:rPr>
          <m:t>u</m:t>
        </m:r>
        <m:r>
          <m:rPr>
            <m:sty m:val="p"/>
          </m:rPr>
          <w:rPr>
            <w:rFonts w:ascii="Cambria Math" w:hAnsi="Cambria Math" w:eastAsia="宋体"/>
            <w:sz w:val="24"/>
            <w:szCs w:val="24"/>
          </w:rPr>
          <m:t>, </m:t>
        </m:r>
        <m:r>
          <m:rPr>
            <m:sty m:val="i"/>
          </m:rPr>
          <w:rPr>
            <w:rFonts w:ascii="Cambria Math" w:hAnsi="Cambria Math" w:eastAsia="宋体"/>
            <w:sz w:val="24"/>
            <w:szCs w:val="24"/>
          </w:rPr>
          <m:t>v</m:t>
        </m:r>
        <m:r>
          <m:rPr>
            <m:sty m:val="p"/>
          </m:rPr>
          <w:rPr>
            <w:rFonts w:ascii="Cambria Math" w:hAnsi="Cambria Math" w:eastAsia="宋体"/>
            <w:sz w:val="24"/>
            <w:szCs w:val="24"/>
          </w:rPr>
          <m:t>, </m:t>
        </m:r>
        <m:r>
          <m:rPr>
            <m:sty m:val="i"/>
          </m:rPr>
          <w:rPr>
            <w:rFonts w:ascii="Cambria Math" w:hAnsi="Cambria Math" w:eastAsia="宋体"/>
            <w:sz w:val="24"/>
            <w:szCs w:val="24"/>
          </w:rPr>
          <m:t>w</m:t>
        </m:r>
        <m:r>
          <m:rPr>
            <m:sty m:val="p"/>
          </m:rPr>
          <w:rPr>
            <w:rFonts w:ascii="Cambria Math" w:hAnsi="Cambria Math" w:eastAsia="宋体"/>
            <w:sz w:val="24"/>
            <w:szCs w:val="24"/>
          </w:rPr>
          <m:t>, </m:t>
        </m:r>
        <m:r>
          <m:rPr>
            <m:sty m:val="i"/>
          </m:rPr>
          <w:rPr>
            <w:rFonts w:ascii="Cambria Math" w:hAnsi="Cambria Math" w:eastAsia="宋体"/>
            <w:sz w:val="24"/>
            <w:szCs w:val="24"/>
          </w:rPr>
          <m:t>p</m:t>
        </m:r>
        <m:r>
          <m:rPr>
            <m:sty m:val="p"/>
          </m:rPr>
          <w:rPr>
            <w:rFonts w:ascii="Cambria Math" w:hAnsi="Cambria Math" w:eastAsia="宋体"/>
            <w:sz w:val="24"/>
            <w:szCs w:val="24"/>
          </w:rPr>
          <m:t>, </m:t>
        </m:r>
        <m:r>
          <m:rPr>
            <m:sty m:val="i"/>
          </m:rPr>
          <w:rPr>
            <w:rFonts w:ascii="Cambria Math" w:hAnsi="Cambria Math" w:eastAsia="宋体"/>
            <w:sz w:val="24"/>
            <w:szCs w:val="24"/>
          </w:rPr>
          <m:t>q</m:t>
        </m:r>
        <m:r>
          <m:rPr>
            <m:sty m:val="p"/>
          </m:rPr>
          <w:rPr>
            <w:rFonts w:ascii="Cambria Math" w:hAnsi="Cambria Math" w:eastAsia="宋体"/>
            <w:sz w:val="24"/>
            <w:szCs w:val="24"/>
          </w:rPr>
          <m:t>, </m:t>
        </m:r>
        <m:r>
          <m:rPr>
            <m:sty m:val="i"/>
          </m:rPr>
          <w:rPr>
            <w:rFonts w:ascii="Cambria Math" w:hAnsi="Cambria Math" w:eastAsia="宋体"/>
            <w:sz w:val="24"/>
            <w:szCs w:val="24"/>
          </w:rPr>
          <m:t>r</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。综合刚体动力学与水动力作用，建立六自由度运动学与动力学基本方程：</w:t>
      </w:r>
    </w:p>
    <w:p>
      <w:pPr>
        <w:pStyle w:val="a7"/>
        <w:jc w:val="center"/>
        <w:spacing w:line="360" w:lineRule="auto"/>
        <w:ind w:firstLine="0" w:firstLineChars="0" w:left="0"/>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 = </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 + </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p"/>
            </m:rPr>
            <w:rPr>
              <w:rFonts w:ascii="Cambria Math" w:hAnsi="Cambria Math" w:eastAsia="宋体"/>
              <w:sz w:val="24"/>
              <w:szCs w:val="24"/>
            </w:rPr>
            <m:t> = </m:t>
          </m:r>
          <m:r>
            <m:rPr>
              <m:sty m:val="bi"/>
            </m:rPr>
            <w:rPr>
              <w:rFonts w:ascii="Cambria Math" w:hAnsi="Cambria Math" w:eastAsia="宋体"/>
              <w:sz w:val="24"/>
              <w:szCs w:val="24"/>
            </w:rPr>
            <m:t>τ</m:t>
          </m:r>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      (1)</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cs="Times New Roman" w:eastAsia="宋体"/>
          <w:b w:val="0"/>
          <w:i w:val="0"/>
          <w:color w:val="000000"/>
          <w:sz w:val="24"/>
        </w:rPr>
        <w:t xml:space="preserve"> 为刚体惯性与附加质量矩阵；</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为包含线性与二次非线性项的水动力阻尼矩阵；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为重力与浮力恢复力矩矢量；</w:t>
      </w:r>
      <m:oMath>
        <m:r>
          <m:rPr>
            <m:sty m:val="bi"/>
          </m:rPr>
          <w:rPr>
            <w:rFonts w:ascii="Cambria Math" w:hAnsi="Cambria Math" w:eastAsia="宋体"/>
            <w:sz w:val="24"/>
            <w:szCs w:val="24"/>
          </w:rPr>
          <m:t>τ</m:t>
        </m:r>
      </m:oMath>
      <w:r>
        <w:rPr>
          <w:rFonts w:ascii="Times New Roman" w:hAnsi="Times New Roman" w:cs="Times New Roman" w:eastAsia="宋体"/>
          <w:b w:val="0"/>
          <w:i w:val="0"/>
          <w:color w:val="000000"/>
          <w:sz w:val="24"/>
        </w:rPr>
        <w:t xml:space="preserve"> 为推进器产生的广义控制力与力矩矢量；</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oMath>
      <w:r>
        <w:rPr>
          <w:rFonts w:ascii="Times New Roman" w:hAnsi="Times New Roman" w:cs="Times New Roman" w:eastAsia="宋体"/>
          <w:b w:val="0"/>
          <w:i w:val="0"/>
          <w:color w:val="000000"/>
          <w:sz w:val="24"/>
        </w:rPr>
        <w:t xml:space="preserve"> 为外部扰动项。同时，结合已有平台推进器参数资料，建立单推进器控制输入到推力输出的静态映射与必要动态模型。</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622000"/>
            <wp:docPr id="2" name="Picture 2"/>
            <wp:cNvGraphicFramePr>
              <a:graphicFrameLocks noChangeAspect="1"/>
            </wp:cNvGraphicFramePr>
            <a:graphic>
              <a:graphicData uri="http://schemas.openxmlformats.org/drawingml/2006/picture">
                <pic:pic>
                  <pic:nvPicPr>
                    <pic:cNvPr id="0" name="fig0_rov_coord_thrusters.png"/>
                    <pic:cNvPicPr/>
                  </pic:nvPicPr>
                  <pic:blipFill>
                    <a:blip r:embed="rId11"/>
                    <a:stretch>
                      <a:fillRect/>
                    </a:stretch>
                  </pic:blipFill>
                  <pic:spPr>
                    <a:xfrm>
                      <a:off x="0" y="0"/>
                      <a:ext cx="5472000" cy="26220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2  八推进器水下航行器坐标系定义与推力矢量空间布置示意图</w:t>
      </w:r>
    </w:p>
    <w:p>
      <w:pPr>
        <w:pStyle w:val="a7"/>
        <w:jc w:val="both"/>
        <w:spacing w:line="360" w:lineRule="auto"/>
        <w:ind w:firstLineChars="200" w:firstLine="480"/>
      </w:pPr>
      <w:r>
        <w:rPr>
          <w:rFonts w:ascii="Times New Roman" w:hAnsi="Times New Roman" w:cs="Times New Roman" w:eastAsia="宋体"/>
          <w:b/>
          <w:i w:val="0"/>
          <w:color w:val="000000"/>
          <w:sz w:val="24"/>
        </w:rPr>
        <w:t>2）系统辨识与模型验证方法：</w:t>
      </w:r>
      <w:r>
        <w:rPr>
          <w:rFonts w:ascii="Times New Roman" w:hAnsi="Times New Roman" w:cs="Times New Roman" w:eastAsia="宋体"/>
          <w:b w:val="0"/>
          <w:i w:val="0"/>
          <w:color w:val="000000"/>
          <w:sz w:val="24"/>
        </w:rPr>
        <w:t xml:space="preserve">结合已有八推进器平台的几何结构与质量参数确定先验已知量，梳理出主导各自由度动态响应的关键未知水动力参数集 </w:t>
      </w:r>
      <m:oMath>
        <m:r>
          <m:rPr>
            <m:sty m:val="bi"/>
          </m:rPr>
          <w:rPr>
            <w:rFonts w:ascii="Cambria Math" w:hAnsi="Cambria Math" w:eastAsia="宋体"/>
            <w:sz w:val="24"/>
            <w:szCs w:val="24"/>
          </w:rPr>
          <m:t>θ</m:t>
        </m:r>
      </m:oMath>
      <w:r>
        <w:rPr>
          <w:rFonts w:ascii="Times New Roman" w:hAnsi="Times New Roman" w:cs="Times New Roman" w:eastAsia="宋体"/>
          <w:b w:val="0"/>
          <w:i w:val="0"/>
          <w:color w:val="000000"/>
          <w:sz w:val="24"/>
        </w:rPr>
        <w:t xml:space="preserve">。根据动力学方程构造激励输入（推进器推力或广义控制力）与状态输出（线速度、角速度、姿态、深度等动态响应）之间的参数化辨识关系，利用平台参数资料及相关测试/仿真响应数据对未知参数 </w:t>
      </w:r>
      <m:oMath>
        <m:r>
          <m:rPr>
            <m:sty m:val="bi"/>
          </m:rPr>
          <w:rPr>
            <w:rFonts w:ascii="Cambria Math" w:hAnsi="Cambria Math" w:eastAsia="宋体"/>
            <w:sz w:val="24"/>
            <w:szCs w:val="24"/>
          </w:rPr>
          <m:t>θ</m:t>
        </m:r>
      </m:oMath>
      <w:r>
        <w:rPr>
          <w:rFonts w:ascii="Times New Roman" w:hAnsi="Times New Roman" w:cs="Times New Roman" w:eastAsia="宋体"/>
          <w:b w:val="0"/>
          <w:i w:val="0"/>
          <w:color w:val="000000"/>
          <w:sz w:val="24"/>
        </w:rPr>
        <w:t xml:space="preserve"> 进行参数估计与修正。随后，通过代表性动态响应对比模型输出与相关数据，定量评估模型偏差并明确模型适用范围，获得经验证的标称模型 </w:t>
      </w:r>
      <m:oMath>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i w:val="0"/>
          <w:color w:val="000000"/>
          <w:sz w:val="24"/>
        </w:rPr>
        <w:t>3）基于模型与状态反馈的闭环运动控制方法：</w:t>
      </w:r>
      <w:r>
        <w:rPr>
          <w:rFonts w:ascii="Times New Roman" w:hAnsi="Times New Roman" w:cs="Times New Roman" w:eastAsia="宋体"/>
          <w:b w:val="0"/>
          <w:i w:val="0"/>
          <w:color w:val="000000"/>
          <w:sz w:val="24"/>
        </w:rPr>
        <w:t xml:space="preserve">以经验证的航行器标称模型为基础，设参考运动状态为 </w:t>
      </w:r>
      <m:oMath>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 与 </w:t>
      </w:r>
      <m:oMath>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，定义姿态、深度与航向等状态跟踪误差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η</m:t>
        </m:r>
      </m:oMath>
      <w:r>
        <w:rPr>
          <w:rFonts w:ascii="Times New Roman" w:hAnsi="Times New Roman" w:cs="Times New Roman" w:eastAsia="宋体"/>
          <w:b w:val="0"/>
          <w:i w:val="0"/>
          <w:color w:val="000000"/>
          <w:sz w:val="24"/>
        </w:rPr>
        <w:t xml:space="preserve"> 及速度误差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ν</m:t>
        </m:r>
      </m:oMath>
      <w:r>
        <w:rPr>
          <w:rFonts w:ascii="Times New Roman" w:hAnsi="Times New Roman" w:cs="Times New Roman" w:eastAsia="宋体"/>
          <w:b w:val="0"/>
          <w:i w:val="0"/>
          <w:color w:val="000000"/>
          <w:sz w:val="24"/>
        </w:rPr>
        <w:t>。结合标称模型信息（</w:t>
      </w:r>
      <m:oMath>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oMath>
      <w:r>
        <w:rPr>
          <w:rFonts w:ascii="Times New Roman" w:hAnsi="Times New Roman" w:cs="Times New Roman" w:eastAsia="宋体"/>
          <w:b w:val="0"/>
          <w:i w:val="0"/>
          <w:color w:val="000000"/>
          <w:sz w:val="24"/>
        </w:rPr>
        <w:t xml:space="preserve">）与实时状态反馈，设计闭环运动控制律计算期望广义力和力矩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 </m:t>
          </m:r>
          <m:r>
            <m:rPr>
              <m:sty m:val="bi"/>
            </m:rPr>
            <w:rPr>
              <w:rFonts w:ascii="Cambria Math" w:hAnsi="Cambria Math" w:eastAsia="宋体"/>
              <w:sz w:val="24"/>
              <w:szCs w:val="24"/>
            </w:rPr>
            <m:t>η</m:t>
          </m:r>
          <m:r>
            <m:rPr>
              <m:sty m:val="p"/>
            </m:rPr>
            <w:rPr>
              <w:rFonts w:ascii="Cambria Math" w:hAnsi="Cambria Math" w:eastAsia="宋体"/>
              <w:sz w:val="24"/>
              <w:szCs w:val="24"/>
            </w:rPr>
            <m:t>, </m:t>
          </m:r>
          <m:r>
            <m:rPr>
              <m:sty m:val="bi"/>
            </m:rPr>
            <w:rPr>
              <w:rFonts w:ascii="Cambria Math" w:hAnsi="Cambria Math" w:eastAsia="宋体"/>
              <w:sz w:val="24"/>
              <w:szCs w:val="24"/>
            </w:rPr>
            <m:t>ν</m:t>
          </m:r>
          <m:r>
            <m:rPr>
              <m:sty m:val="p"/>
            </m:rPr>
            <w:rPr>
              <w:rFonts w:ascii="Cambria Math" w:hAnsi="Cambria Math" w:eastAsia="宋体"/>
              <w:sz w:val="24"/>
              <w:szCs w:val="24"/>
            </w:rPr>
            <m:t>,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m:t>
          </m:r>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(2)</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该通用结构将基于航行器模型的动态特性补偿项 </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与基于状态误差的反馈控制项 </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相结合，可根据后续模型验证结果与控制需求灵活设计具体的模型前馈补偿、反馈线性化或增量动态逆反馈形式，开展多工况对比与鲁棒性分析。</w:t>
      </w:r>
    </w:p>
    <w:p>
      <w:pPr>
        <w:pStyle w:val="a7"/>
        <w:jc w:val="both"/>
        <w:spacing w:line="360" w:lineRule="auto"/>
        <w:ind w:firstLineChars="200" w:firstLine="480"/>
      </w:pPr>
      <w:r>
        <w:rPr>
          <w:rFonts w:ascii="Times New Roman" w:hAnsi="Times New Roman" w:cs="Times New Roman" w:eastAsia="宋体"/>
          <w:b/>
          <w:i w:val="0"/>
          <w:color w:val="000000"/>
          <w:sz w:val="24"/>
        </w:rPr>
        <w:t>4）八推进器控制分配方法：</w:t>
      </w:r>
      <w:r>
        <w:rPr>
          <w:rFonts w:ascii="Times New Roman" w:hAnsi="Times New Roman" w:cs="Times New Roman" w:eastAsia="宋体"/>
          <w:b w:val="0"/>
          <w:i w:val="0"/>
          <w:color w:val="000000"/>
          <w:sz w:val="24"/>
          <w:highlight w:val="yellow"/>
        </w:rPr>
        <w:t>如图 2(b) 所示，</w:t>
      </w:r>
      <w:r>
        <w:rPr>
          <w:rFonts w:ascii="Times New Roman" w:hAnsi="Times New Roman" w:cs="Times New Roman" w:eastAsia="宋体"/>
          <w:b w:val="0"/>
          <w:i w:val="0"/>
          <w:color w:val="000000"/>
          <w:sz w:val="24"/>
        </w:rPr>
        <w:t>已有平台包含水平面 4 台矢量倾斜推进器（</w:t>
      </w:r>
      <m:oMath>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4</m:t>
            </m:r>
          </m:sub>
        </m:sSub>
      </m:oMath>
      <w:r>
        <w:rPr>
          <w:rFonts w:ascii="Times New Roman" w:hAnsi="Times New Roman" w:cs="Times New Roman" w:eastAsia="宋体"/>
          <w:b w:val="0"/>
          <w:i w:val="0"/>
          <w:color w:val="000000"/>
          <w:sz w:val="24"/>
        </w:rPr>
        <w:t>）与垂直面 4 台垂向对称推进器（</w:t>
      </w:r>
      <m:oMath>
        <m:sSub>
          <m:e>
            <m:r>
              <m:rPr>
                <m:sty m:val="i"/>
              </m:rPr>
              <w:rPr>
                <w:rFonts w:ascii="Cambria Math" w:hAnsi="Cambria Math" w:eastAsia="宋体"/>
                <w:sz w:val="24"/>
                <w:szCs w:val="24"/>
              </w:rPr>
              <m:t>T</m:t>
            </m:r>
          </m:e>
          <m:sub>
            <m:r>
              <m:rPr>
                <m:sty m:val="p"/>
              </m:rPr>
              <w:rPr>
                <w:rFonts w:ascii="Cambria Math" w:hAnsi="Cambria Math" w:eastAsia="宋体"/>
                <w:sz w:val="24"/>
                <w:szCs w:val="24"/>
              </w:rPr>
              <m:t>5</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oMath>
      <w:r>
        <w:rPr>
          <w:rFonts w:ascii="Times New Roman" w:hAnsi="Times New Roman" w:cs="Times New Roman" w:eastAsia="宋体"/>
          <w:b w:val="0"/>
          <w:i w:val="0"/>
          <w:color w:val="000000"/>
          <w:sz w:val="24"/>
        </w:rPr>
        <w:t xml:space="preserve">）。根据第 </w:t>
      </w:r>
      <m:oMath>
        <m:r>
          <m:rPr>
            <m:sty m:val="i"/>
          </m:rPr>
          <w:rPr>
            <w:rFonts w:ascii="Cambria Math" w:hAnsi="Cambria Math" w:eastAsia="宋体"/>
            <w:sz w:val="24"/>
            <w:szCs w:val="24"/>
          </w:rPr>
          <m:t>i</m:t>
        </m:r>
      </m:oMath>
      <w:r>
        <w:rPr>
          <w:rFonts w:ascii="Times New Roman" w:hAnsi="Times New Roman" w:cs="Times New Roman" w:eastAsia="宋体"/>
          <w:b w:val="0"/>
          <w:i w:val="0"/>
          <w:color w:val="000000"/>
          <w:sz w:val="24"/>
        </w:rPr>
        <w:t xml:space="preserve"> 个推进器（</w:t>
      </w:r>
      <m:oMath>
        <m:r>
          <m:rPr>
            <m:sty m:val="i"/>
          </m:rPr>
          <w:rPr>
            <w:rFonts w:ascii="Cambria Math" w:hAnsi="Cambria Math" w:eastAsia="宋体"/>
            <w:sz w:val="24"/>
            <w:szCs w:val="24"/>
          </w:rPr>
          <m:t>i</m:t>
        </m:r>
        <m:r>
          <m:rPr>
            <m:sty m:val="p"/>
          </m:rPr>
          <w:rPr>
            <w:rFonts w:ascii="Cambria Math" w:hAnsi="Cambria Math" w:eastAsia="宋体"/>
            <w:sz w:val="24"/>
            <w:szCs w:val="24"/>
          </w:rPr>
          <m:t> = 1, …, 8</m:t>
        </m:r>
      </m:oMath>
      <w:r>
        <w:rPr>
          <w:rFonts w:ascii="Times New Roman" w:hAnsi="Times New Roman" w:cs="Times New Roman" w:eastAsia="宋体"/>
          <w:b w:val="0"/>
          <w:i w:val="0"/>
          <w:color w:val="000000"/>
          <w:sz w:val="24"/>
        </w:rPr>
        <w:t xml:space="preserve">）在附体系下的安装位置矢量 </w:t>
      </w:r>
      <m:oMath>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 与推力方向单位矢量 </w:t>
      </w:r>
      <m:oMath>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3</m:t>
            </m:r>
          </m:sup>
        </m:sSup>
      </m:oMath>
      <w:r>
        <w:rPr>
          <w:rFonts w:ascii="Times New Roman" w:hAnsi="Times New Roman" w:cs="Times New Roman" w:eastAsia="宋体"/>
          <w:b w:val="0"/>
          <w:i w:val="0"/>
          <w:color w:val="000000"/>
          <w:sz w:val="24"/>
        </w:rPr>
        <w:t xml:space="preserve">，构造 </w:t>
      </w:r>
      <m:oMath>
        <m:r>
          <m:rPr>
            <m:sty m:val="p"/>
          </m:rPr>
          <w:rPr>
            <w:rFonts w:ascii="Cambria Math" w:hAnsi="Cambria Math" w:eastAsia="宋体"/>
            <w:sz w:val="24"/>
            <w:szCs w:val="24"/>
          </w:rPr>
          <m:t>6 × 8</m:t>
        </m:r>
      </m:oMath>
      <w:r>
        <w:rPr>
          <w:rFonts w:ascii="Times New Roman" w:hAnsi="Times New Roman" w:cs="Times New Roman" w:eastAsia="宋体"/>
          <w:b w:val="0"/>
          <w:i w:val="0"/>
          <w:color w:val="000000"/>
          <w:sz w:val="24"/>
        </w:rPr>
        <w:t xml:space="preserve"> 控制分配矩阵 </w:t>
      </w:r>
      <m:oMath>
        <m:r>
          <m:rPr>
            <m:sty m:val="bi"/>
          </m:rPr>
          <w:rPr>
            <w:rFonts w:ascii="Cambria Math" w:hAnsi="Cambria Math" w:eastAsia="宋体"/>
            <w:sz w:val="24"/>
            <w:szCs w:val="24"/>
          </w:rPr>
          <m:t>B</m:t>
        </m:r>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1</m:t>
            </m:r>
          </m:sub>
        </m:sSub>
        <m:r>
          <m:rPr>
            <m:sty m:val="p"/>
          </m:rPr>
          <w:rPr>
            <w:rFonts w:ascii="Cambria Math" w:hAnsi="Cambria Math" w:eastAsia="宋体"/>
            <w:sz w:val="24"/>
            <w:szCs w:val="24"/>
          </w:rPr>
          <m:t>, </m:t>
        </m:r>
        <m:sSub>
          <m:e>
            <m:r>
              <m:rPr>
                <m:sty m:val="bi"/>
              </m:rPr>
              <w:rPr>
                <w:rFonts w:ascii="Cambria Math" w:hAnsi="Cambria Math" w:eastAsia="宋体"/>
                <w:sz w:val="24"/>
                <w:szCs w:val="24"/>
              </w:rPr>
              <m:t>b</m:t>
            </m:r>
          </m:e>
          <m:sub>
            <m:r>
              <m:rPr>
                <m:sty m:val="p"/>
              </m:rPr>
              <w:rPr>
                <w:rFonts w:ascii="Cambria Math" w:hAnsi="Cambria Math" w:eastAsia="宋体"/>
                <w:sz w:val="24"/>
                <w:szCs w:val="24"/>
              </w:rPr>
              <m:t>2</m:t>
            </m:r>
          </m:sub>
        </m:sSub>
        <m:r>
          <m:rPr>
            <m:sty m:val="p"/>
          </m:rPr>
          <w:rPr>
            <w:rFonts w:ascii="Cambria Math" w:hAnsi="Cambria Math" w:eastAsia="宋体"/>
            <w:sz w:val="24"/>
            <w:szCs w:val="24"/>
          </w:rPr>
          <m:t>, …, </m:t>
        </m:r>
        <m:sSub>
          <m:e>
            <m:r>
              <m:rPr>
                <m:sty m:val="bi"/>
              </m:rPr>
              <w:rPr>
                <w:rFonts w:ascii="Cambria Math" w:hAnsi="Cambria Math" w:eastAsia="宋体"/>
                <w:sz w:val="24"/>
                <w:szCs w:val="24"/>
              </w:rPr>
              <m:t>b</m:t>
            </m:r>
          </m:e>
          <m:sub>
            <m:r>
              <m:rPr>
                <m:sty m:val="p"/>
              </m:rPr>
              <w:rPr>
                <w:rFonts w:ascii="Cambria Math" w:hAnsi="Cambria Math" w:eastAsia="宋体"/>
                <w:sz w:val="24"/>
                <w:szCs w:val="24"/>
              </w:rPr>
              <m:t>8</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6×8</m:t>
            </m:r>
          </m:sup>
        </m:sSup>
      </m:oMath>
      <w:r>
        <w:rPr>
          <w:rFonts w:ascii="Times New Roman" w:hAnsi="Times New Roman" w:cs="Times New Roman" w:eastAsia="宋体"/>
          <w:b w:val="0"/>
          <w:i w:val="0"/>
          <w:color w:val="000000"/>
          <w:sz w:val="24"/>
        </w:rPr>
        <w:t xml:space="preserve">，并在推进器基本推力输出范围约束下求解各推进器推力指令 </w:t>
      </w:r>
      <m:oMath>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b</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d>
            <m:dPr>
              <m:begChr m:val="["/>
              <m:endChr m:val="]"/>
            </m:dPr>
            <m:e>
              <m:m>
                <m:mPr>
                  <m:mcs>
                    <m:mc>
                      <m:mcPr>
                        <m:count m:val="1"/>
                        <m:mcJc m:val="center"/>
                      </m:mcPr>
                    </m:mc>
                  </m:mcs>
                </m:mPr>
                <m:mr>
                  <m:e>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r>
                  <m:e>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
            </m:e>
          </m:d>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 </m:t>
          </m:r>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 ,    </m:t>
          </m:r>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r>
            <m:rPr>
              <m:sty m:val="bi"/>
            </m:rPr>
            <w:rPr>
              <w:rFonts w:ascii="Cambria Math" w:hAnsi="Cambria Math" w:eastAsia="宋体"/>
              <w:sz w:val="24"/>
              <w:szCs w:val="24"/>
            </w:rPr>
            <m:t>B</m:t>
          </m:r>
          <m:r>
            <m:rPr>
              <m:sty m:val="bi"/>
            </m:rPr>
            <w:rPr>
              <w:rFonts w:ascii="Cambria Math" w:hAnsi="Cambria Math" w:eastAsia="宋体"/>
              <w:sz w:val="24"/>
              <w:szCs w:val="24"/>
            </w:rPr>
            <m:t>T</m:t>
          </m:r>
          <m:r>
            <m:rPr>
              <m:sty m:val="p"/>
            </m:rPr>
            <w:rPr>
              <w:rFonts w:ascii="Cambria Math" w:hAnsi="Cambria Math" w:eastAsia="宋体"/>
              <w:sz w:val="24"/>
              <w:szCs w:val="24"/>
            </w:rPr>
            <m:t>      (3)</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通过对比无约束广义逆基准与考虑推力上下限 </w:t>
      </w:r>
      <m:oMath>
        <m:r>
          <m:rPr>
            <m:sty m:val="p"/>
          </m:rPr>
          <w:rPr>
            <w:rFonts w:ascii="Cambria Math" w:hAnsi="Cambria Math" w:eastAsia="宋体"/>
            <w:sz w:val="24"/>
            <w:szCs w:val="24"/>
          </w:rPr>
          <m:t>[</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的有界控制分配方法，量化分析控制分配残差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oMath>
      <w:r>
        <w:rPr>
          <w:rFonts w:ascii="Times New Roman" w:hAnsi="Times New Roman" w:cs="Times New Roman" w:eastAsia="宋体"/>
          <w:b w:val="0"/>
          <w:i w:val="0"/>
          <w:color w:val="000000"/>
          <w:sz w:val="24"/>
        </w:rPr>
        <w:t xml:space="preserve"> 与各推进器推力输出饱和情况。</w:t>
      </w:r>
    </w:p>
    <w:p>
      <w:pPr>
        <w:pStyle w:val="a7"/>
        <w:jc w:val="both"/>
        <w:spacing w:line="360" w:lineRule="auto"/>
        <w:ind w:firstLineChars="200" w:firstLine="480"/>
      </w:pPr>
      <w:r>
        <w:rPr>
          <w:rFonts w:ascii="Times New Roman" w:hAnsi="Times New Roman" w:cs="Times New Roman" w:eastAsia="宋体"/>
          <w:b/>
          <w:i w:val="0"/>
          <w:color w:val="000000"/>
          <w:sz w:val="24"/>
        </w:rPr>
        <w:t>5）PX4/SITL闭环仿真验证方法：</w:t>
      </w:r>
      <w:r>
        <w:rPr>
          <w:rFonts w:ascii="Times New Roman" w:hAnsi="Times New Roman" w:cs="Times New Roman" w:eastAsia="宋体"/>
          <w:b w:val="0"/>
          <w:i w:val="0"/>
          <w:color w:val="000000"/>
          <w:sz w:val="24"/>
        </w:rPr>
        <w:t xml:space="preserve">利用PX4模块化软件架构与uORB发布/订阅消息机制，在SITL环境中将辨识验证后的水下航行器动力学模型、运动控制模块与八推进器控制分配模块集成为闭环系统，设置姿态、深度、航向等典型运动工况及适量外部扰动条件开展闭环仿真，综合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oMath>
      <w:r>
        <w:rPr>
          <w:rFonts w:ascii="Times New Roman" w:hAnsi="Times New Roman" w:cs="Times New Roman" w:eastAsia="宋体"/>
          <w:b w:val="0"/>
          <w:i w:val="0"/>
          <w:color w:val="000000"/>
          <w:sz w:val="24"/>
        </w:rPr>
        <w:t xml:space="preserve">、动态响应指标及控制分配残差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oMath>
      <w:r>
        <w:rPr>
          <w:rFonts w:ascii="Times New Roman" w:hAnsi="Times New Roman" w:cs="Times New Roman" w:eastAsia="宋体"/>
          <w:b w:val="0"/>
          <w:i w:val="0"/>
          <w:color w:val="000000"/>
          <w:sz w:val="24"/>
        </w:rPr>
        <w:t xml:space="preserve"> 验证系统性能。</w:t>
      </w:r>
    </w:p>
    <w:p>
      <w:pPr>
        <w:pStyle w:val="a7"/>
        <w:jc w:val="both"/>
        <w:spacing w:line="360" w:lineRule="auto"/>
        <w:ind w:firstLineChars="200" w:firstLine="480"/>
      </w:pPr>
      <w:r>
        <w:rPr>
          <w:rFonts w:ascii="Times New Roman" w:hAnsi="Times New Roman" w:cs="Times New Roman" w:eastAsia="黑体"/>
          <w:b w:val="0"/>
          <w:i w:val="0"/>
          <w:color w:val="000000"/>
          <w:sz w:val="24"/>
        </w:rPr>
        <w:t>（2）技术路线图</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本课题的总体研究技术路线如图 3 所示，基于PX4/SITL的水下航行器闭环仿真系统结构框图如图 4 所示。</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078000"/>
            <wp:docPr id="3" name="Picture 3"/>
            <wp:cNvGraphicFramePr>
              <a:graphicFrameLocks noChangeAspect="1"/>
            </wp:cNvGraphicFramePr>
            <a:graphic>
              <a:graphicData uri="http://schemas.openxmlformats.org/drawingml/2006/picture">
                <pic:pic>
                  <pic:nvPicPr>
                    <pic:cNvPr id="0" name="fig1_technical_roadmap.png"/>
                    <pic:cNvPicPr/>
                  </pic:nvPicPr>
                  <pic:blipFill>
                    <a:blip r:embed="rId12"/>
                    <a:stretch>
                      <a:fillRect/>
                    </a:stretch>
                  </pic:blipFill>
                  <pic:spPr>
                    <a:xfrm>
                      <a:off x="0" y="0"/>
                      <a:ext cx="5472000" cy="30780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3  课题总体研究技术路线图</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736000"/>
            <wp:docPr id="4" name="Picture 4"/>
            <wp:cNvGraphicFramePr>
              <a:graphicFrameLocks noChangeAspect="1"/>
            </wp:cNvGraphicFramePr>
            <a:graphic>
              <a:graphicData uri="http://schemas.openxmlformats.org/drawingml/2006/picture">
                <pic:pic>
                  <pic:nvPicPr>
                    <pic:cNvPr id="0" name="fig2_px4_rov_architecture.png"/>
                    <pic:cNvPicPr/>
                  </pic:nvPicPr>
                  <pic:blipFill>
                    <a:blip r:embed="rId13"/>
                    <a:stretch>
                      <a:fillRect/>
                    </a:stretch>
                  </pic:blipFill>
                  <pic:spPr>
                    <a:xfrm>
                      <a:off x="0" y="0"/>
                      <a:ext cx="5472000" cy="27360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highlight w:val="yellow"/>
        </w:rPr>
        <w:t>图 4  基于PX4/SITL的水下航行器闭环仿真系统结构框图</w:t>
      </w:r>
    </w:p>
    <w:p>
      <w:pPr>
        <w:pStyle w:val="a7"/>
        <w:jc w:val="both"/>
        <w:spacing w:line="360" w:lineRule="auto"/>
        <w:ind w:firstLineChars="200" w:firstLine="480"/>
      </w:pPr>
      <w:r>
        <w:rPr>
          <w:rFonts w:ascii="Times New Roman" w:hAnsi="Times New Roman" w:cs="Times New Roman" w:eastAsia="黑体"/>
          <w:b w:val="0"/>
          <w:i w:val="0"/>
          <w:color w:val="000000"/>
          <w:sz w:val="24"/>
        </w:rPr>
        <w:t>（3）可行性分析</w:t>
      </w:r>
    </w:p>
    <w:p>
      <w:pPr>
        <w:pStyle w:val="a7"/>
        <w:jc w:val="both"/>
        <w:spacing w:line="360" w:lineRule="auto"/>
        <w:ind w:firstLineChars="200" w:firstLine="480"/>
      </w:pPr>
      <w:r>
        <w:rPr>
          <w:rFonts w:ascii="Times New Roman" w:hAnsi="Times New Roman" w:cs="Times New Roman" w:eastAsia="宋体"/>
          <w:b w:val="0"/>
          <w:i w:val="0"/>
          <w:color w:val="000000"/>
          <w:sz w:val="24"/>
        </w:rPr>
        <w:t>本课题研究方案的可行性主要体现在以下三个方面：</w:t>
      </w:r>
    </w:p>
    <w:p>
      <w:pPr>
        <w:pStyle w:val="a7"/>
        <w:jc w:val="both"/>
        <w:spacing w:line="360" w:lineRule="auto"/>
        <w:ind w:firstLineChars="200" w:firstLine="480"/>
      </w:pPr>
      <w:r>
        <w:rPr>
          <w:rFonts w:ascii="Times New Roman" w:hAnsi="Times New Roman" w:cs="Times New Roman" w:eastAsia="宋体"/>
          <w:b/>
          <w:i w:val="0"/>
          <w:color w:val="000000"/>
          <w:sz w:val="24"/>
        </w:rPr>
        <w:t>1）理论与方法可行性：</w:t>
      </w:r>
      <w:r>
        <w:rPr>
          <w:rFonts w:ascii="Times New Roman" w:hAnsi="Times New Roman" w:cs="Times New Roman" w:eastAsia="宋体"/>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pPr>
        <w:pStyle w:val="a7"/>
        <w:jc w:val="both"/>
        <w:spacing w:line="360" w:lineRule="auto"/>
        <w:ind w:firstLineChars="200" w:firstLine="480"/>
      </w:pPr>
      <w:r>
        <w:rPr>
          <w:rFonts w:ascii="Times New Roman" w:hAnsi="Times New Roman" w:cs="Times New Roman" w:eastAsia="宋体"/>
          <w:b/>
          <w:i w:val="0"/>
          <w:color w:val="000000"/>
          <w:sz w:val="24"/>
        </w:rPr>
        <w:t>2）平台与数据基础可行性：</w:t>
      </w:r>
      <w:r>
        <w:rPr>
          <w:rFonts w:ascii="Times New Roman" w:hAnsi="Times New Roman" w:cs="Times New Roman" w:eastAsia="宋体"/>
          <w:b w:val="0"/>
          <w:i w:val="0"/>
          <w:color w:val="000000"/>
          <w:sz w:val="24"/>
        </w:rPr>
        <w:t>本课题直接依托实验室已有八推进器水下航行器平台开展研究，平台几何构型、质量惯性属性、推进器安装布置及相关参数数据具备良好基础，能够为动力学建模、系统辨识、模型验证及八推进器控制分配矩阵建立提供可靠的数据支撑。</w:t>
      </w:r>
    </w:p>
    <w:p>
      <w:pPr>
        <w:pStyle w:val="a7"/>
        <w:jc w:val="both"/>
        <w:spacing w:line="360" w:lineRule="auto"/>
        <w:ind w:firstLineChars="200" w:firstLine="480"/>
      </w:pPr>
      <w:r>
        <w:rPr>
          <w:rFonts w:ascii="Times New Roman" w:hAnsi="Times New Roman" w:cs="Times New Roman" w:eastAsia="宋体"/>
          <w:b/>
          <w:i w:val="0"/>
          <w:color w:val="000000"/>
          <w:sz w:val="24"/>
        </w:rPr>
        <w:t>3）软件与仿真环境可行性：</w:t>
      </w:r>
      <w:r>
        <w:rPr>
          <w:rFonts w:ascii="Times New Roman" w:hAnsi="Times New Roman" w:cs="Times New Roman" w:eastAsia="宋体"/>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3． 工作进度安排</w:t>
      </w:r>
    </w:p>
    <w:p>
      <w:pPr>
        <w:pStyle w:val="a7"/>
        <w:jc w:val="both"/>
        <w:spacing w:line="360" w:lineRule="auto"/>
        <w:ind w:firstLineChars="200" w:firstLine="480"/>
      </w:pPr>
      <w:r>
        <w:rPr>
          <w:rFonts w:ascii="Times New Roman" w:hAnsi="Times New Roman" w:cs="Times New Roman" w:eastAsia="宋体"/>
          <w:b w:val="0"/>
          <w:i w:val="0"/>
          <w:color w:val="000000"/>
          <w:sz w:val="24"/>
        </w:rPr>
        <w:t>根据学校毕业论文总体进程与任务书要求，本课题各阶段工作进度安排如表 2 所示：</w:t>
      </w:r>
    </w:p>
    <w:p>
      <w:pPr>
        <w:jc w:val="center"/>
        <w:spacing w:line="240" w:lineRule="auto" w:beforeLines="50" w:before="120"/>
        <w:ind w:firstLine="0" w:firstLineChars="0" w:left="0"/>
      </w:pPr>
      <w:r>
        <w:rPr>
          <w:rFonts w:ascii="Times New Roman" w:hAnsi="Times New Roman" w:cs="Times New Roman" w:eastAsia="宋体"/>
          <w:b/>
          <w:i w:val="0"/>
          <w:color w:val="000000"/>
          <w:sz w:val="21"/>
        </w:rPr>
        <w:t>表 2  毕业论文工作进度安排</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cantSplit/>
        </w:trPr>
        <w:tc>
          <w:tcPr>
            <w:tcW w:type="dxa" w:w="1020"/>
            <w:vAlign w:val="center"/>
          </w:tcPr>
          <w:p>
            <w:pPr>
              <w:spacing w:before="40" w:after="40" w:line="288" w:lineRule="auto"/>
              <w:ind w:firstLine="0"/>
              <w:jc w:val="center"/>
            </w:pPr>
            <w:r/>
            <w:r>
              <w:rPr>
                <w:rFonts w:ascii="Times New Roman" w:hAnsi="Times New Roman" w:cs="Times New Roman" w:eastAsia="黑体"/>
                <w:b/>
                <w:i w:val="0"/>
                <w:color w:val="000000"/>
                <w:sz w:val="21"/>
              </w:rPr>
              <w:t>序 号</w:t>
            </w:r>
          </w:p>
        </w:tc>
        <w:tc>
          <w:tcPr>
            <w:tcW w:type="dxa" w:w="4989"/>
            <w:vAlign w:val="center"/>
          </w:tcPr>
          <w:p>
            <w:pPr>
              <w:spacing w:before="40" w:after="40" w:line="288" w:lineRule="auto"/>
              <w:ind w:firstLine="0"/>
              <w:jc w:val="center"/>
            </w:pPr>
            <w:r/>
            <w:r>
              <w:rPr>
                <w:rFonts w:ascii="Times New Roman" w:hAnsi="Times New Roman" w:cs="Times New Roman" w:eastAsia="黑体"/>
                <w:b/>
                <w:i w:val="0"/>
                <w:color w:val="000000"/>
                <w:sz w:val="21"/>
              </w:rPr>
              <w:t>论文各阶段名称</w:t>
            </w:r>
          </w:p>
        </w:tc>
        <w:tc>
          <w:tcPr>
            <w:tcW w:type="dxa" w:w="2721"/>
            <w:vAlign w:val="center"/>
          </w:tcPr>
          <w:p>
            <w:pPr>
              <w:spacing w:before="40" w:after="40" w:line="288" w:lineRule="auto"/>
              <w:ind w:firstLine="0"/>
              <w:jc w:val="center"/>
            </w:pPr>
            <w:r/>
            <w:r>
              <w:rPr>
                <w:rFonts w:ascii="Times New Roman" w:hAnsi="Times New Roman" w:cs="Times New Roman" w:eastAsia="黑体"/>
                <w:b/>
                <w:i w:val="0"/>
                <w:color w:val="000000"/>
                <w:sz w:val="21"/>
              </w:rPr>
              <w:t>时间安排（教学周）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课题申报、审核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2026.7.13~2026.7.24</w:t>
              <w:br/>
              <w:t>（第20~21周）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学生选课、选题</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2026.8.4~2026.8.7</w:t>
              <w:br/>
              <w:t>（第23周）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3</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下达任务书及任务书审核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2026.8.17~2026.8.21</w:t>
              <w:br/>
              <w:t>（第25周）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4</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编写开题报告、开题答辩、提交开题报告、审核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2026.9.16~2026.10.9</w:t>
              <w:br/>
              <w:t>（第1~4周）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5</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水下航行器动力学与推进器建模、PX4/SITL基础环境搭建</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2026.10.12~2026.11.20</w:t>
              <w:br/>
              <w:t>（第5~10周）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6</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系统辨识与模型验证、运动控制方法研究</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2026.11.23~2026.12.25</w:t>
              <w:br/>
              <w:t>（第11~15周）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7</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中期检查及中期答辩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2026.12.28~2027.1.15</w:t>
              <w:br/>
              <w:t>（第16~18周）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8</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运动控制、八推进器控制分配及PX4/SITL闭环集成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2027.2.22~2027.3.12</w:t>
              <w:br/>
              <w:t>（第1~3周）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9</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SITL闭环仿真、典型工况验证与结果分析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2027.3.15~2027.4.2</w:t>
              <w:br/>
              <w:t>（第4~6周）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10</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论文撰写与仿真补充</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2027.4.5~2027.4.16</w:t>
              <w:br/>
              <w:t>（第7~8周）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论文查重、导师评阅、专家评阅、学生修改完善论文并定稿、毕业答辩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2027.4.19~2027.4.28</w:t>
              <w:br/>
              <w:t>（第9~10周）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论文评优、论文各类资料（书面版和电子版）整理、归档</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2027.5.3~2027.5.14</w:t>
              <w:br/>
              <w:t>（第11~12周）</w:t>
            </w:r>
          </w:p>
        </w:tc>
      </w:tr>
    </w:tbl>
    <w:p>
      <w:pPr>
        <w:jc w:val="both"/>
        <w:spacing w:line="360" w:lineRule="auto" w:beforeLines="50" w:before="120" w:afterLines="50" w:after="120"/>
        <w:ind w:firstLine="560"/>
      </w:pPr>
      <w:r>
        <w:rPr>
          <w:rFonts w:ascii="Times New Roman" w:hAnsi="Times New Roman" w:cs="Times New Roman" w:eastAsia="黑体"/>
          <w:b w:val="0"/>
          <w:i w:val="0"/>
          <w:color w:val="000000"/>
          <w:sz w:val="28"/>
        </w:rPr>
        <w:t>三、毕业论文的主要参考文献</w:t>
      </w:r>
    </w:p>
    <w:p>
      <w:pPr>
        <w:pStyle w:val="a9"/>
        <w:jc w:val="both"/>
        <w:spacing w:line="360" w:lineRule="auto"/>
        <w:ind w:left="420" w:hanging="420"/>
      </w:pPr>
      <w:bookmarkStart w:id="101" w:name="_Ref_Paper_1"/>
      <w:r>
        <w:rPr>
          <w:rFonts w:ascii="Times New Roman" w:hAnsi="Times New Roman" w:cs="Times New Roman" w:eastAsia="宋体"/>
          <w:b w:val="0"/>
          <w:i w:val="0"/>
          <w:color w:val="000000"/>
          <w:sz w:val="24"/>
        </w:rPr>
        <w:t>[1] Fossen T I. Handbook of Marine Craft Hydrodynamics and Motion Control[M]. 2nd ed. Chichester, UK: John Wiley &amp; Sons, 2021. DOI: 10.1002/9781119575016.</w:t>
      </w:r>
      <w:bookmarkEnd w:id="101"/>
    </w:p>
    <w:p>
      <w:pPr>
        <w:pStyle w:val="a9"/>
        <w:jc w:val="both"/>
        <w:spacing w:line="360" w:lineRule="auto"/>
        <w:ind w:left="420" w:hanging="420"/>
      </w:pPr>
      <w:bookmarkStart w:id="102" w:name="_Ref_Paper_2"/>
      <w:r>
        <w:rPr>
          <w:rFonts w:ascii="Times New Roman" w:hAnsi="Times New Roman" w:cs="Times New Roman" w:eastAsia="宋体"/>
          <w:b w:val="0"/>
          <w:i w:val="0"/>
          <w:color w:val="000000"/>
          <w:sz w:val="24"/>
        </w:rPr>
        <w:t>[2] Caccia M, Indiveri G, Veruggio G. Modeling and identification of open-frame variable configuration unmanned underwater vehicles[J]. IEEE Journal of Oceanic Engineering, 2000, 25(2): 227-240. DOI: 10.1109/48.838986.</w:t>
      </w:r>
      <w:bookmarkEnd w:id="102"/>
    </w:p>
    <w:p>
      <w:pPr>
        <w:pStyle w:val="a9"/>
        <w:jc w:val="both"/>
        <w:spacing w:line="360" w:lineRule="auto"/>
        <w:ind w:left="420" w:hanging="420"/>
      </w:pPr>
      <w:bookmarkStart w:id="103" w:name="_Ref_Paper_3"/>
      <w:r>
        <w:rPr>
          <w:rFonts w:ascii="Times New Roman" w:hAnsi="Times New Roman" w:cs="Times New Roman" w:eastAsia="宋体"/>
          <w:b w:val="0"/>
          <w:i w:val="0"/>
          <w:color w:val="000000"/>
          <w:sz w:val="24"/>
        </w:rPr>
        <w:t>[3] Ross A, Fossen T I, Johansen T A. Identification of underwater vehicle hydrodynamic coefficients using free decay tests[J]. IFAC Proceedings Volumes, 2004, 37(10): 363-368. DOI: 10.1016/S1474-6670(17)31759-7.</w:t>
      </w:r>
      <w:bookmarkEnd w:id="103"/>
    </w:p>
    <w:p>
      <w:pPr>
        <w:pStyle w:val="a9"/>
        <w:jc w:val="both"/>
        <w:spacing w:line="360" w:lineRule="auto"/>
        <w:ind w:left="420" w:hanging="420"/>
      </w:pPr>
      <w:bookmarkStart w:id="104" w:name="_Ref_Paper_4"/>
      <w:r>
        <w:rPr>
          <w:rFonts w:ascii="Times New Roman" w:hAnsi="Times New Roman" w:cs="Times New Roman" w:eastAsia="宋体"/>
          <w:b w:val="0"/>
          <w:i w:val="0"/>
          <w:color w:val="000000"/>
          <w:sz w:val="24"/>
        </w:rPr>
        <w:t>[4] Avila J P J, Donha D C, Adamowski J C. Experimental model identification of open-frame underwater vehicles[J]. Ocean Engineering, 2013, 60: 81-94. DOI: 10.1016/j.oceaneng.2012.10.007.</w:t>
      </w:r>
      <w:bookmarkEnd w:id="104"/>
    </w:p>
    <w:p>
      <w:pPr>
        <w:pStyle w:val="a9"/>
        <w:jc w:val="both"/>
        <w:spacing w:line="360" w:lineRule="auto"/>
        <w:ind w:left="420" w:hanging="420"/>
      </w:pPr>
      <w:bookmarkStart w:id="105" w:name="_Ref_Paper_5"/>
      <w:r>
        <w:rPr>
          <w:rFonts w:ascii="Times New Roman" w:hAnsi="Times New Roman" w:cs="Times New Roman" w:eastAsia="宋体"/>
          <w:b w:val="0"/>
          <w:i w:val="0"/>
          <w:color w:val="000000"/>
          <w:sz w:val="24"/>
        </w:rPr>
        <w:t>[5] Liu J C, Liu X M, Xu Y R. Application of ML to system identification for underwater vehicle[J]. Journal of Marine Science and Application, 2002, 1(1): 21-25. DOI: 10.1007/BF02921412.</w:t>
      </w:r>
      <w:bookmarkEnd w:id="105"/>
    </w:p>
    <w:p>
      <w:pPr>
        <w:pStyle w:val="a9"/>
        <w:jc w:val="both"/>
        <w:spacing w:line="360" w:lineRule="auto"/>
        <w:ind w:left="420" w:hanging="420"/>
      </w:pPr>
      <w:bookmarkStart w:id="106" w:name="_Ref_Paper_6"/>
      <w:r>
        <w:rPr>
          <w:rFonts w:ascii="Times New Roman" w:hAnsi="Times New Roman" w:cs="Times New Roman" w:eastAsia="宋体"/>
          <w:b w:val="0"/>
          <w:i w:val="0"/>
          <w:color w:val="000000"/>
          <w:sz w:val="24"/>
        </w:rPr>
        <w:t>[6] Chin C, Lau M. Modeling and testing of hydrodynamic damping model for a complex-shaped remotely-operated vehicle for control[J]. Journal of Marine Science and Application, 2012, 11(2): 150-163. DOI: 10.1007/s11804-012-1117-2.</w:t>
      </w:r>
      <w:bookmarkEnd w:id="106"/>
    </w:p>
    <w:p>
      <w:pPr>
        <w:pStyle w:val="a9"/>
        <w:jc w:val="both"/>
        <w:spacing w:line="360" w:lineRule="auto"/>
        <w:ind w:left="420" w:hanging="420"/>
      </w:pPr>
      <w:bookmarkStart w:id="107" w:name="_Ref_Paper_7"/>
      <w:r>
        <w:rPr>
          <w:rFonts w:ascii="Times New Roman" w:hAnsi="Times New Roman" w:cs="Times New Roman" w:eastAsia="宋体"/>
          <w:b w:val="0"/>
          <w:i w:val="0"/>
          <w:color w:val="000000"/>
          <w:sz w:val="24"/>
        </w:rPr>
        <w:t>[7] 高婷, 庞永杰, 王亚星, 等. 水下航行器水动力系数计算方法[J]. 哈尔滨工程大学学报, 2019, 40(1): 174-180.</w:t>
      </w:r>
      <w:bookmarkEnd w:id="107"/>
    </w:p>
    <w:p>
      <w:pPr>
        <w:pStyle w:val="a9"/>
        <w:jc w:val="both"/>
        <w:spacing w:line="360" w:lineRule="auto"/>
        <w:ind w:left="420" w:hanging="420"/>
      </w:pPr>
      <w:bookmarkStart w:id="108" w:name="_Ref_Paper_8"/>
      <w:r>
        <w:rPr>
          <w:rFonts w:ascii="Times New Roman" w:hAnsi="Times New Roman" w:cs="Times New Roman" w:eastAsia="宋体"/>
          <w:b w:val="0"/>
          <w:i w:val="0"/>
          <w:color w:val="000000"/>
          <w:sz w:val="24"/>
        </w:rPr>
        <w:t>[8] von Benzon M, Sørensen F F, Uth E, et al. An Open-Source Benchmark Simulator: Control of a BlueROV2 Underwater Robot[J]. Journal of Marine Science and Engineering, 2022, 10(12): 1898. DOI: 10.3390/jmse10121898.</w:t>
      </w:r>
      <w:bookmarkEnd w:id="108"/>
    </w:p>
    <w:p>
      <w:pPr>
        <w:pStyle w:val="a9"/>
        <w:jc w:val="both"/>
        <w:spacing w:line="360" w:lineRule="auto"/>
        <w:ind w:left="420" w:hanging="420"/>
      </w:pPr>
      <w:bookmarkStart w:id="109" w:name="_Ref_Paper_9"/>
      <w:r>
        <w:rPr>
          <w:rFonts w:ascii="Times New Roman" w:hAnsi="Times New Roman" w:cs="Times New Roman" w:eastAsia="宋体"/>
          <w:b w:val="0"/>
          <w:i w:val="0"/>
          <w:color w:val="000000"/>
          <w:sz w:val="24"/>
        </w:rPr>
        <w:t>[9]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09"/>
    </w:p>
    <w:p>
      <w:pPr>
        <w:pStyle w:val="a9"/>
        <w:jc w:val="both"/>
        <w:spacing w:line="360" w:lineRule="auto"/>
        <w:ind w:left="420" w:hanging="420"/>
      </w:pPr>
      <w:bookmarkStart w:id="110" w:name="_Ref_Paper_10"/>
      <w:r>
        <w:rPr>
          <w:rFonts w:ascii="Times New Roman" w:hAnsi="Times New Roman" w:cs="Times New Roman" w:eastAsia="宋体"/>
          <w:b w:val="0"/>
          <w:i w:val="0"/>
          <w:color w:val="000000"/>
          <w:sz w:val="24"/>
        </w:rPr>
        <w:t>[10] Chu Z, Xiang X, Zhu D, et al. Adaptive trajectory tracking control for remotely operated vehicles considering thruster dynamics and saturation constraints[J]. ISA Transactions, 2020, 100: 28-37. DOI: 10.1016/j.isatra.2019.11.032.</w:t>
      </w:r>
      <w:bookmarkEnd w:id="110"/>
    </w:p>
    <w:p>
      <w:pPr>
        <w:pStyle w:val="a9"/>
        <w:jc w:val="both"/>
        <w:spacing w:line="360" w:lineRule="auto"/>
        <w:ind w:left="420" w:hanging="420"/>
      </w:pPr>
      <w:bookmarkStart w:id="111" w:name="_Ref_Paper_11"/>
      <w:r>
        <w:rPr>
          <w:rFonts w:ascii="Times New Roman" w:hAnsi="Times New Roman" w:cs="Times New Roman" w:eastAsia="宋体"/>
          <w:b w:val="0"/>
          <w:i w:val="0"/>
          <w:color w:val="000000"/>
          <w:sz w:val="24"/>
        </w:rPr>
        <w:t>[11] Smeur E J J, Chu Q, de Croon G C H E. Adaptive incremental nonlinear dynamic inversion for attitude control of micro air vehicles[J]. Journal of Guidance, Control, and Dynamics, 2016, 39(3): 450-461. DOI: 10.2514/1.G001490.</w:t>
      </w:r>
      <w:bookmarkEnd w:id="111"/>
    </w:p>
    <w:p>
      <w:pPr>
        <w:pStyle w:val="a9"/>
        <w:jc w:val="both"/>
        <w:spacing w:line="360" w:lineRule="auto"/>
        <w:ind w:left="420" w:hanging="420"/>
      </w:pPr>
      <w:bookmarkStart w:id="112" w:name="_Ref_Paper_12"/>
      <w:r>
        <w:rPr>
          <w:rFonts w:ascii="Times New Roman" w:hAnsi="Times New Roman" w:cs="Times New Roman" w:eastAsia="宋体"/>
          <w:b w:val="0"/>
          <w:i w:val="0"/>
          <w:color w:val="000000"/>
          <w:sz w:val="24"/>
        </w:rPr>
        <w:t>[12]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12"/>
    </w:p>
    <w:p>
      <w:pPr>
        <w:pStyle w:val="a9"/>
        <w:jc w:val="both"/>
        <w:spacing w:line="360" w:lineRule="auto"/>
        <w:ind w:left="420" w:hanging="420"/>
      </w:pPr>
      <w:bookmarkStart w:id="113" w:name="_Ref_Paper_13"/>
      <w:r>
        <w:rPr>
          <w:rFonts w:ascii="Times New Roman" w:hAnsi="Times New Roman" w:cs="Times New Roman" w:eastAsia="宋体"/>
          <w:b w:val="0"/>
          <w:i w:val="0"/>
          <w:color w:val="000000"/>
          <w:sz w:val="24"/>
        </w:rPr>
        <w:t>[13] Fossen T I, Johansen T A. A survey of control allocation methods for ships and underwater vehicles[C]//2006 14th Mediterranean Conference on Control and Automation. Ancona, Italy: IEEE, 2006: 1-6. DOI: 10.1109/MED.2006.328749.</w:t>
      </w:r>
      <w:bookmarkEnd w:id="113"/>
    </w:p>
    <w:p>
      <w:pPr>
        <w:pStyle w:val="a9"/>
        <w:jc w:val="both"/>
        <w:spacing w:line="360" w:lineRule="auto"/>
        <w:ind w:left="420" w:hanging="420"/>
      </w:pPr>
      <w:bookmarkStart w:id="114" w:name="_Ref_Paper_14"/>
      <w:r>
        <w:rPr>
          <w:rFonts w:ascii="Times New Roman" w:hAnsi="Times New Roman" w:cs="Times New Roman" w:eastAsia="宋体"/>
          <w:b w:val="0"/>
          <w:i w:val="0"/>
          <w:color w:val="000000"/>
          <w:sz w:val="24"/>
        </w:rPr>
        <w:t>[14] Johansen T A, Fossen T I. Control allocation—A survey[J]. Automatica, 2013, 49(5): 1087-1103. DOI: 10.1016/j.automatica.2013.01.035.</w:t>
      </w:r>
      <w:bookmarkEnd w:id="114"/>
    </w:p>
    <w:p>
      <w:pPr>
        <w:pStyle w:val="a9"/>
        <w:jc w:val="both"/>
        <w:spacing w:line="360" w:lineRule="auto"/>
        <w:ind w:left="420" w:hanging="420"/>
      </w:pPr>
      <w:bookmarkStart w:id="115" w:name="_Ref_Paper_15"/>
      <w:r>
        <w:rPr>
          <w:rFonts w:ascii="Times New Roman" w:hAnsi="Times New Roman" w:cs="Times New Roman" w:eastAsia="宋体"/>
          <w:b w:val="0"/>
          <w:i w:val="0"/>
          <w:color w:val="000000"/>
          <w:sz w:val="24"/>
        </w:rPr>
        <w:t>[15] 万磊, 徐玉如, 庞永杰. 水下机器人推力器容错控制技术的研究[J]. 机器人, 2003, 25(6): 510-514.</w:t>
      </w:r>
      <w:bookmarkEnd w:id="115"/>
    </w:p>
    <w:p>
      <w:pPr>
        <w:pStyle w:val="a9"/>
        <w:jc w:val="both"/>
        <w:spacing w:line="360" w:lineRule="auto"/>
        <w:ind w:left="420" w:hanging="420"/>
      </w:pPr>
      <w:bookmarkStart w:id="116" w:name="_Ref_Paper_16"/>
      <w:r>
        <w:rPr>
          <w:rFonts w:ascii="Times New Roman" w:hAnsi="Times New Roman" w:cs="Times New Roman" w:eastAsia="宋体"/>
          <w:b w:val="0"/>
          <w:i w:val="0"/>
          <w:color w:val="000000"/>
          <w:sz w:val="24"/>
        </w:rPr>
        <w:t>[16] 程卫平, 王猛, 曾现敏, 等. 基于可行方向法的水下机器人推力分配[J]. 舰船科学技术, 2022, 44(13): 102-106.</w:t>
      </w:r>
      <w:bookmarkEnd w:id="116"/>
    </w:p>
    <w:p>
      <w:pPr>
        <w:pStyle w:val="a9"/>
        <w:jc w:val="both"/>
        <w:spacing w:line="360" w:lineRule="auto"/>
        <w:ind w:left="420" w:hanging="420"/>
      </w:pPr>
      <w:bookmarkStart w:id="117" w:name="_Ref_Paper_17"/>
      <w:r>
        <w:rPr>
          <w:rFonts w:ascii="Times New Roman" w:hAnsi="Times New Roman" w:cs="Times New Roman" w:eastAsia="宋体"/>
          <w:b w:val="0"/>
          <w:i w:val="0"/>
          <w:color w:val="000000"/>
          <w:sz w:val="24"/>
        </w:rPr>
        <w:t>[17] 孙广威, 苏玉玺, 毛义, 等. 基于模糊逻辑的混合推进ROV多级推力分配策略[J]. 机器人, 2023, 45(4): 472-482.</w:t>
      </w:r>
      <w:bookmarkEnd w:id="117"/>
    </w:p>
    <w:p>
      <w:pPr>
        <w:pStyle w:val="a9"/>
        <w:jc w:val="both"/>
        <w:spacing w:line="360" w:lineRule="auto"/>
        <w:ind w:left="420" w:hanging="420"/>
      </w:pPr>
      <w:bookmarkStart w:id="118" w:name="_Ref_Paper_18"/>
      <w:r>
        <w:rPr>
          <w:rFonts w:ascii="Times New Roman" w:hAnsi="Times New Roman" w:cs="Times New Roman" w:eastAsia="宋体"/>
          <w:b w:val="0"/>
          <w:i w:val="0"/>
          <w:color w:val="000000"/>
          <w:sz w:val="24"/>
        </w:rPr>
        <w:t>[18] Meier L, Honegger D, Pollefeys M. PX4: A node-based multithreaded open source robotics framework for deeply embedded platforms[C]//2015 IEEE International Conference on Robotics and Automation (ICRA). Seattle, WA: IEEE, 2015: 6235-6240. DOI: 10.1109/ICRA.2015.7140074.</w:t>
      </w:r>
      <w:bookmarkEnd w:id="118"/>
    </w:p>
    <w:p>
      <w:pPr>
        <w:pStyle w:val="a9"/>
        <w:jc w:val="both"/>
        <w:spacing w:line="360" w:lineRule="auto"/>
        <w:ind w:left="420" w:hanging="420"/>
      </w:pPr>
      <w:bookmarkStart w:id="119" w:name="_Ref_Paper_19"/>
      <w:r>
        <w:rPr>
          <w:rFonts w:ascii="Times New Roman" w:hAnsi="Times New Roman" w:cs="Times New Roman" w:eastAsia="宋体"/>
          <w:b w:val="0"/>
          <w:i w:val="0"/>
          <w:color w:val="000000"/>
          <w:sz w:val="24"/>
        </w:rPr>
        <w:t>[19] Hackbarth A, Duecker D A, Kreuzer E. HippoCampus: A micro underwater vehicle for swarm applications[C]//2015 IEEE/RSJ International Conference on Intelligent Robots and Systems (IROS). Hamburg, Germany: IEEE, 2015: 1096-1101. DOI: 10.1109/IROS.2015.7353506.</w:t>
      </w:r>
      <w:bookmarkEnd w:id="119"/>
    </w:p>
    <w:p>
      <w:pPr>
        <w:pStyle w:val="a9"/>
        <w:jc w:val="both"/>
        <w:spacing w:line="360" w:lineRule="auto"/>
        <w:ind w:left="420" w:hanging="420"/>
      </w:pPr>
      <w:bookmarkStart w:id="120" w:name="_Ref_Paper_20"/>
      <w:r>
        <w:rPr>
          <w:rFonts w:ascii="Times New Roman" w:hAnsi="Times New Roman" w:cs="Times New Roman" w:eastAsia="宋体"/>
          <w:b w:val="0"/>
          <w:i w:val="0"/>
          <w:color w:val="000000"/>
          <w:sz w:val="24"/>
        </w:rPr>
        <w:t>[20] Duecker D A, Bauschmann N, Hansen T, et al. HippoCampus X – A hydrobatic open-source micro AUV for confined environments[C]//2020 IEEE/OES Autonomous Underwater Vehicles Symposium (AUV). St. John's, NL, Canada: IEEE, 2020: 1-6. DOI: 10.1109/AUV50043.2020.9267895.</w:t>
      </w:r>
      <w:bookmarkEnd w:id="120"/>
    </w:p>
    <w:p w14:paraId="2CA8248D" w14:textId="77777777" w:rsidR="00117889" w:rsidRPr="0008585D" w:rsidRDefault="00117889" w:rsidP="0008585D">
      <w:pPr>
        <w:spacing w:line="360" w:lineRule="auto" w:beforeLines="50" w:before="120" w:afterLines="50" w:after="120"/>
        <w:ind w:firstLine="560"/>
        <w:jc w:val="both"/>
        <w:rPr>
          <w:rFonts w:ascii="黑体" w:eastAsia="黑体" w:hint="eastAsia"/>
          <w:sz w:val="28"/>
        </w:rPr>
      </w:pPr>
      <w:r/>
      <w:r>
        <w:rPr>
          <w:rFonts w:ascii="Times New Roman" w:hAnsi="Times New Roman" w:cs="Times New Roman" w:eastAsia="黑体"/>
          <w:b w:val="0"/>
          <w:i w:val="0"/>
          <w:color w:val="000000"/>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r w:rsidRPr="00214248">
              <w:rPr>
                <w:rFonts w:ascii="宋体" w:hAnsi="宋体" w:hint="eastAsia"/>
                <w:szCs w:val="24"/>
                <w:u w:val="single"/>
              </w:rPr>
              <w:t xml:space="preserve"> </w:t>
            </w:r>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r w:rsidR="00641C40"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