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 </w:t>
      </w:r>
      <w:hyperlink w:anchor="_Ref_Paper_1" w:history="1">
        <w:r>
          <w:rPr>
            <w:rFonts w:ascii="Times New Roman" w:hAnsi="Times New Roman" w:cs="Times New Roman" w:eastAsia="宋体"/>
            <w:sz w:val="24"/>
            <w:szCs w:val="24"/>
            <w:color w:val="000000"/>
            <w:highlight w:val="yellow"/>
            <w:vertAlign w:val="superscript"/>
          </w:rPr>
          <w:t>[1]</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rPr>
        <w:t>直接依托实验室</w:t>
      </w:r>
      <w:r>
        <w:rPr>
          <w:rFonts w:ascii="Times New Roman" w:hAnsi="Times New Roman" w:cs="Times New Roman" w:eastAsia="宋体"/>
          <w:b w:val="0"/>
          <w:i w:val="0"/>
          <w:color w:val="000000"/>
          <w:sz w:val="24"/>
          <w:highlight w:val="yellow"/>
        </w:rPr>
        <w:t>已有的八推进器便携式水下航行器（Remotely Operated Vehicle，ROV）</w:t>
      </w:r>
      <w:r>
        <w:rPr>
          <w:rFonts w:ascii="Times New Roman" w:hAnsi="Times New Roman" w:cs="Times New Roman" w:eastAsia="宋体"/>
          <w:b w:val="0"/>
          <w:i w:val="0"/>
          <w:color w:val="000000"/>
          <w:sz w:val="24"/>
        </w:rPr>
        <w:t>实验平台方案及相关结构数据开展研究。</w:t>
      </w:r>
      <w:r>
        <w:rPr>
          <w:rFonts w:ascii="Times New Roman" w:hAnsi="Times New Roman" w:cs="Times New Roman" w:eastAsia="宋体"/>
          <w:b w:val="0"/>
          <w:i w:val="0"/>
          <w:color w:val="000000"/>
          <w:sz w:val="24"/>
        </w:rPr>
        <w:t>该平台具备八推进器空间对称与矢量倾斜布置的硬件驱动能力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highlight w:val="yellow"/>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w:t>
      </w:r>
      <w:r>
        <w:rPr>
          <w:rFonts w:ascii="Times New Roman" w:hAnsi="Times New Roman" w:cs="Times New Roman" w:eastAsia="宋体"/>
          <w:b w:val="0"/>
          <w:i w:val="0"/>
          <w:color w:val="000000"/>
          <w:sz w:val="24"/>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highlight w:val="yellow"/>
        </w:rPr>
        <w:t>工程实践</w:t>
      </w:r>
      <w:r>
        <w:rPr>
          <w:rFonts w:ascii="Times New Roman" w:hAnsi="Times New Roman" w:cs="Times New Roman" w:eastAsia="宋体"/>
          <w:b w:val="0"/>
          <w:i w:val="0"/>
          <w:color w:val="000000"/>
          <w:sz w:val="24"/>
        </w:rPr>
        <w:t>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rPr>
        <w:t>依托</w:t>
      </w:r>
      <w:r>
        <w:rPr>
          <w:rFonts w:ascii="Times New Roman" w:hAnsi="Times New Roman" w:cs="Times New Roman" w:eastAsia="宋体"/>
          <w:b w:val="0"/>
          <w:i w:val="0"/>
          <w:color w:val="000000"/>
          <w:sz w:val="24"/>
          <w:highlight w:val="yellow"/>
        </w:rPr>
        <w:t>实验室</w:t>
      </w:r>
      <w:r>
        <w:rPr>
          <w:rFonts w:ascii="Times New Roman" w:hAnsi="Times New Roman" w:cs="Times New Roman" w:eastAsia="宋体"/>
          <w:b w:val="0"/>
          <w:i w:val="0"/>
          <w:color w:val="000000"/>
          <w:sz w:val="24"/>
        </w:rPr>
        <w:t>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水下航行器平台，建立六自由度动力学与推进器模型；结合已有平台参数资料和相关</w:t>
      </w:r>
      <w:r>
        <w:rPr>
          <w:rFonts w:ascii="Times New Roman" w:hAnsi="Times New Roman" w:cs="Times New Roman" w:eastAsia="宋体"/>
          <w:b w:val="0"/>
          <w:i w:val="0"/>
          <w:color w:val="000000"/>
          <w:sz w:val="24"/>
          <w:highlight w:val="yellow"/>
        </w:rPr>
        <w:t>动态响应</w:t>
      </w:r>
      <w:r>
        <w:rPr>
          <w:rFonts w:ascii="Times New Roman" w:hAnsi="Times New Roman" w:cs="Times New Roman" w:eastAsia="宋体"/>
          <w:b w:val="0"/>
          <w:i w:val="0"/>
          <w:color w:val="000000"/>
          <w:sz w:val="24"/>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highlight w:val="yellow"/>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highlight w:val="yellow"/>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highlight w:val="yellow"/>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highlight w:val="yellow"/>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highlight w:val="yellow"/>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highlight w:val="yellow"/>
        </w:rPr>
        <w:t>各推进器</w:t>
      </w:r>
      <w:r>
        <w:rPr>
          <w:rFonts w:ascii="Times New Roman" w:hAnsi="Times New Roman" w:cs="Times New Roman" w:eastAsia="宋体"/>
          <w:b w:val="0"/>
          <w:i w:val="0"/>
          <w:color w:val="000000"/>
          <w:sz w:val="24"/>
        </w:rPr>
        <w:t>推力指令；最终在PX4/SITL软件在环仿真环境中构建闭环系统，通过</w:t>
      </w:r>
      <w:r>
        <w:rPr>
          <w:rFonts w:ascii="Times New Roman" w:hAnsi="Times New Roman" w:cs="Times New Roman" w:eastAsia="宋体"/>
          <w:b w:val="0"/>
          <w:i w:val="0"/>
          <w:color w:val="000000"/>
          <w:sz w:val="24"/>
          <w:highlight w:val="yellow"/>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highlight w:val="yellow"/>
        </w:rPr>
        <w:t>适量</w:t>
      </w:r>
      <w:r>
        <w:rPr>
          <w:rFonts w:ascii="Times New Roman" w:hAnsi="Times New Roman" w:cs="Times New Roman" w:eastAsia="宋体"/>
          <w:b w:val="0"/>
          <w:i w:val="0"/>
          <w:color w:val="000000"/>
          <w:sz w:val="24"/>
        </w:rPr>
        <w:t>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开展本课题研究对提升水下航行器的运动控制性能与工程开发效率具有直接价值。一方面，针对便携式水下航行器水动力参数不确定、多自由度交叉耦合以及八推进器推力受限等问题，将经辨识验证的动力学模型引入闭环控制器与受约束控制分配设计，能够有效克服传统经验控制在多轴机动与流扰环境下易超调、推力分配易饱和失真的局限，为过驱动水下航行器的稳定可靠控制提供方法支撑。另一方面，依托开源 PX4 飞控软件架构构建水下软件在环（SITL）闭环仿真环境，使动力学模型、运动控制律与推力分配算法在与实机一致的模块化软件框架下完成闭环检验，不仅能够在安全、可重复的条件下系统评估算法性能并降低水池实机联调的试错成本，还有助于为后续控制算法向实验室水下航行器机载硬件迁移部署奠定可靠的软件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highlight w:val="yellow"/>
        </w:rPr>
        <w:t>方向</w:t>
      </w:r>
      <w:r>
        <w:rPr>
          <w:rFonts w:ascii="Times New Roman" w:hAnsi="Times New Roman" w:cs="Times New Roman" w:eastAsia="宋体"/>
          <w:b w:val="0"/>
          <w:i w:val="0"/>
          <w:color w:val="000000"/>
          <w:sz w:val="24"/>
        </w:rPr>
        <w:t>，国内外学术界与工业界进行了深入研究并取得了丰富成果。</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rPr>
        <w:t>。该体系将</w:t>
      </w:r>
      <w:r>
        <w:rPr>
          <w:rFonts w:ascii="Times New Roman" w:hAnsi="Times New Roman" w:cs="Times New Roman" w:eastAsia="宋体"/>
          <w:b w:val="0"/>
          <w:i w:val="0"/>
          <w:color w:val="000000"/>
          <w:sz w:val="24"/>
          <w:highlight w:val="yellow"/>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highlight w:val="yellow"/>
        </w:rPr>
        <w:t>角</w:t>
      </w:r>
      <w:r>
        <w:rPr>
          <w:rFonts w:ascii="Times New Roman" w:hAnsi="Times New Roman" w:cs="Times New Roman" w:eastAsia="宋体"/>
          <w:b w:val="0"/>
          <w:i w:val="0"/>
          <w:color w:val="000000"/>
          <w:sz w:val="24"/>
        </w:rPr>
        <w:t>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w:t>
      </w:r>
      <w:r>
        <w:rPr>
          <w:rFonts w:ascii="Times New Roman" w:hAnsi="Times New Roman" w:cs="Times New Roman" w:eastAsia="宋体"/>
          <w:b w:val="0"/>
          <w:i w:val="0"/>
          <w:color w:val="000000"/>
          <w:sz w:val="24"/>
          <w:highlight w:val="yellow"/>
        </w:rPr>
        <w:t>对于搭载耐压水密舱、外部传感器探头及多推进器组件的非流线型多附体水下航行器（ROV）而言，其水动力特性与流线型回转体 AUV 存在明显差异。此类复杂构型航行器表面形态不规则且水流绕流结构复杂，各运动自由度间易产生显著的水动力耦合。</w:t>
      </w:r>
      <w:r>
        <w:rPr>
          <w:rFonts w:ascii="Times New Roman" w:hAnsi="Times New Roman" w:cs="Times New Roman" w:eastAsia="宋体"/>
          <w:b w:val="0"/>
          <w:i w:val="0"/>
          <w:color w:val="000000"/>
          <w:sz w:val="24"/>
        </w:rPr>
        <w:t>Caccia 等较早对</w:t>
      </w:r>
      <w:r>
        <w:rPr>
          <w:rFonts w:ascii="Times New Roman" w:hAnsi="Times New Roman" w:cs="Times New Roman" w:eastAsia="宋体"/>
          <w:b w:val="0"/>
          <w:i w:val="0"/>
          <w:color w:val="000000"/>
          <w:sz w:val="24"/>
          <w:highlight w:val="yellow"/>
        </w:rPr>
        <w:t>可变构型无人水下航行器</w:t>
      </w:r>
      <w:r>
        <w:rPr>
          <w:rFonts w:ascii="Times New Roman" w:hAnsi="Times New Roman" w:cs="Times New Roman" w:eastAsia="宋体"/>
          <w:b w:val="0"/>
          <w:i w:val="0"/>
          <w:color w:val="000000"/>
          <w:sz w:val="24"/>
        </w:rPr>
        <w:t>的动力学建模与水动力参数辨识展开了系统研究，指出了</w:t>
      </w:r>
      <w:r>
        <w:rPr>
          <w:rFonts w:ascii="Times New Roman" w:hAnsi="Times New Roman" w:cs="Times New Roman" w:eastAsia="宋体"/>
          <w:b w:val="0"/>
          <w:i w:val="0"/>
          <w:color w:val="000000"/>
          <w:sz w:val="24"/>
          <w:highlight w:val="yellow"/>
        </w:rPr>
        <w:t>附加质量与阻尼矩阵中非对角耦合项</w:t>
      </w:r>
      <w:r>
        <w:rPr>
          <w:rFonts w:ascii="Times New Roman" w:hAnsi="Times New Roman" w:cs="Times New Roman" w:eastAsia="宋体"/>
          <w:b w:val="0"/>
          <w:i w:val="0"/>
          <w:color w:val="000000"/>
          <w:sz w:val="24"/>
        </w:rPr>
        <w:t>的影响，验证了基于机理模型结构结合试验数据辨识主导水动力参数的可行性</w:t>
      </w:r>
      <w:hyperlink w:anchor="_Ref_Paper_3" w:history="1">
        <w:r>
          <w:rPr>
            <w:rFonts w:ascii="Times New Roman" w:hAnsi="Times New Roman" w:cs="Times New Roman" w:eastAsia="宋体"/>
            <w:sz w:val="24"/>
            <w:szCs w:val="24"/>
            <w:color w:val="000000"/>
            <w:highlight w:val="yellow"/>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w:t>
      </w:r>
      <w:r>
        <w:rPr>
          <w:rFonts w:ascii="Times New Roman" w:hAnsi="Times New Roman" w:cs="Times New Roman" w:eastAsia="宋体"/>
          <w:b w:val="0"/>
          <w:i w:val="0"/>
          <w:color w:val="000000"/>
          <w:sz w:val="24"/>
          <w:highlight w:val="yellow"/>
        </w:rPr>
        <w:t>非流线型多附体</w:t>
      </w:r>
      <w:r>
        <w:rPr>
          <w:rFonts w:ascii="Times New Roman" w:hAnsi="Times New Roman" w:cs="Times New Roman" w:eastAsia="宋体"/>
          <w:b w:val="0"/>
          <w:i w:val="0"/>
          <w:color w:val="000000"/>
          <w:sz w:val="24"/>
        </w:rPr>
        <w:t>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4" w:history="1">
        <w:r>
          <w:rPr>
            <w:rFonts w:ascii="Times New Roman" w:hAnsi="Times New Roman" w:cs="Times New Roman" w:eastAsia="宋体"/>
            <w:sz w:val="24"/>
            <w:szCs w:val="24"/>
            <w:color w:val="000000"/>
            <w:highlight w:val="yellow"/>
            <w:vertAlign w:val="superscript"/>
          </w:rPr>
          <w:t>[4]</w:t>
        </w:r>
      </w:hyperlink>
      <w:r>
        <w:rPr>
          <w:rFonts w:ascii="Times New Roman" w:hAnsi="Times New Roman" w:cs="Times New Roman" w:eastAsia="宋体"/>
          <w:b w:val="0"/>
          <w:i w:val="0"/>
          <w:color w:val="000000"/>
          <w:sz w:val="24"/>
        </w:rPr>
        <w:t>；Avila 等针对</w:t>
      </w:r>
      <w:r>
        <w:rPr>
          <w:rFonts w:ascii="Times New Roman" w:hAnsi="Times New Roman" w:cs="Times New Roman" w:eastAsia="宋体"/>
          <w:b w:val="0"/>
          <w:i w:val="0"/>
          <w:color w:val="000000"/>
          <w:sz w:val="24"/>
          <w:highlight w:val="yellow"/>
        </w:rPr>
        <w:t>复杂构型</w:t>
      </w:r>
      <w:r>
        <w:rPr>
          <w:rFonts w:ascii="Times New Roman" w:hAnsi="Times New Roman" w:cs="Times New Roman" w:eastAsia="宋体"/>
          <w:b w:val="0"/>
          <w:i w:val="0"/>
          <w:color w:val="000000"/>
          <w:sz w:val="24"/>
        </w:rPr>
        <w:t>水下航行器开展了系统化的实验水动力模型辨识研究，结合阶跃推力激励与频域响应分析对附加质量与流体阻尼特性进行了定量标定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highlight w:val="yellow"/>
            <w:vertAlign w:val="superscript"/>
          </w:rPr>
          <w:t>[5]</w:t>
        </w:r>
      </w:hyperlink>
      <w:r>
        <w:rPr>
          <w:rFonts w:ascii="Times New Roman" w:hAnsi="Times New Roman" w:cs="Times New Roman" w:eastAsia="宋体"/>
          <w:b w:val="0"/>
          <w:i w:val="0"/>
          <w:color w:val="000000"/>
          <w:sz w:val="24"/>
        </w:rPr>
        <w:t>；Chin 与 Lau 针对</w:t>
      </w:r>
      <w:r>
        <w:rPr>
          <w:rFonts w:ascii="Times New Roman" w:hAnsi="Times New Roman" w:cs="Times New Roman" w:eastAsia="宋体"/>
          <w:b w:val="0"/>
          <w:i w:val="0"/>
          <w:color w:val="000000"/>
          <w:sz w:val="24"/>
          <w:highlight w:val="yellow"/>
        </w:rPr>
        <w:t>复杂外形 ROV</w:t>
      </w:r>
      <w:r>
        <w:rPr>
          <w:rFonts w:ascii="Times New Roman" w:hAnsi="Times New Roman" w:cs="Times New Roman" w:eastAsia="宋体"/>
          <w:b w:val="0"/>
          <w:i w:val="0"/>
          <w:color w:val="000000"/>
          <w:sz w:val="24"/>
        </w:rPr>
        <w:t xml:space="preserve">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highlight w:val="yellow"/>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highlight w:val="yellow"/>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highlight w:val="yellow"/>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highlight w:val="yellow"/>
            <w:vertAlign w:val="superscript"/>
          </w:rPr>
          <w:t>[8]</w:t>
        </w:r>
      </w:hyperlink>
      <w:r>
        <w:rPr>
          <w:rFonts w:ascii="Times New Roman" w:hAnsi="Times New Roman" w:cs="Times New Roman" w:eastAsia="宋体"/>
          <w:b w:val="0"/>
          <w:i w:val="0"/>
          <w:color w:val="000000"/>
          <w:sz w:val="24"/>
          <w:highlight w:val="yellow"/>
        </w:rPr>
        <w:t>。</w:t>
      </w:r>
      <w:r>
        <w:rPr>
          <w:rFonts w:ascii="Times New Roman" w:hAnsi="Times New Roman" w:cs="Times New Roman" w:eastAsia="宋体"/>
          <w:b w:val="0"/>
          <w:i w:val="0"/>
          <w:color w:val="000000"/>
          <w:sz w:val="24"/>
        </w:rPr>
        <w:t>这表明，基于机理推导构建模型结构骨架、依托试验数据辨识修正关键未知参数，并利用代表性动态响应验证模型有效性与适用范围的研究路径，已成为兼顾模型物理可解释性与工程可用性的主流方法。</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highlight w:val="yellow"/>
        </w:rPr>
        <w:t xml:space="preserve">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highlight w:val="yellow"/>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1647484"/>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1647484"/>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highlight w:val="yellow"/>
        </w:rPr>
        <w:t xml:space="preserve">。在现代多推进器水下航行器开源物理仿真基准中，文献 </w:t>
      </w:r>
      <w:hyperlink w:anchor="_Ref_Paper_8" w:history="1">
        <w:r>
          <w:rPr>
            <w:rFonts w:ascii="Times New Roman" w:hAnsi="Times New Roman" w:cs="Times New Roman" w:eastAsia="宋体"/>
            <w:sz w:val="24"/>
            <w:szCs w:val="24"/>
            <w:color w:val="000000"/>
            <w:highlight w:val="yellow"/>
            <w:vertAlign w:val="superscript"/>
          </w:rPr>
          <w:t>[8]</w:t>
        </w:r>
      </w:hyperlink>
      <w:r>
        <w:rPr>
          <w:rFonts w:ascii="Times New Roman" w:hAnsi="Times New Roman" w:cs="Times New Roman" w:eastAsia="宋体"/>
          <w:b w:val="0"/>
          <w:i w:val="0"/>
          <w:color w:val="000000"/>
          <w:sz w:val="24"/>
          <w:highlight w:val="yellow"/>
        </w:rPr>
        <w:t xml:space="preserve"> 亦将其作为标准对比算法。</w:t>
      </w:r>
      <w:r>
        <w:rPr>
          <w:rFonts w:ascii="Times New Roman" w:hAnsi="Times New Roman" w:cs="Times New Roman" w:eastAsia="宋体"/>
          <w:b w:val="0"/>
          <w:i w:val="0"/>
          <w:color w:val="000000"/>
          <w:sz w:val="24"/>
        </w:rPr>
        <w:t>然而，</w:t>
      </w:r>
      <w:r>
        <w:rPr>
          <w:rFonts w:ascii="Times New Roman" w:hAnsi="Times New Roman" w:cs="Times New Roman" w:eastAsia="宋体"/>
          <w:b w:val="0"/>
          <w:i w:val="0"/>
          <w:color w:val="000000"/>
          <w:sz w:val="24"/>
          <w:highlight w:val="yellow"/>
        </w:rPr>
        <w:t>八推进器便携式</w:t>
      </w:r>
      <w:r>
        <w:rPr>
          <w:rFonts w:ascii="Times New Roman" w:hAnsi="Times New Roman" w:cs="Times New Roman" w:eastAsia="宋体"/>
          <w:b w:val="0"/>
          <w:i w:val="0"/>
          <w:color w:val="000000"/>
          <w:sz w:val="24"/>
        </w:rPr>
        <w:t>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控制难以兼顾不同运动工况下的控制性能，容易在较大幅度机动时出现超调偏大或推进器输出抖振。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针对上述问题，结合动力学模型已知特性与实时状态反馈的现代控制方法成为水下航行器控制领域的研究重点。</w:t>
      </w:r>
      <w:r>
        <w:rPr>
          <w:rFonts w:ascii="Times New Roman" w:hAnsi="Times New Roman" w:cs="Times New Roman" w:eastAsia="宋体"/>
          <w:b w:val="0"/>
          <w:i w:val="0"/>
          <w:color w:val="000000"/>
          <w:sz w:val="24"/>
          <w:highlight w:val="yellow"/>
        </w:rPr>
        <w:t>如图 1 所示，通用闭环控制系统主要由参考运动规划、运动控制器（包含模型前馈补偿与状态误差反馈两部分）、控制分配模块、推进器执行机构、航行器动力学模型以及状态估计模块组成。</w:t>
      </w:r>
      <w:r>
        <w:rPr>
          <w:rFonts w:ascii="Times New Roman" w:hAnsi="Times New Roman" w:cs="Times New Roman" w:eastAsia="宋体"/>
          <w:b w:val="0"/>
          <w:i w:val="0"/>
          <w:color w:val="000000"/>
          <w:sz w:val="24"/>
        </w:rPr>
        <w:t xml:space="preserve">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w:t>
      </w:r>
      <w:r>
        <w:rPr>
          <w:rFonts w:ascii="Times New Roman" w:hAnsi="Times New Roman" w:cs="Times New Roman" w:eastAsia="宋体"/>
          <w:b w:val="0"/>
          <w:i w:val="0"/>
          <w:color w:val="000000"/>
          <w:sz w:val="24"/>
          <w:highlight w:val="yellow"/>
        </w:rPr>
        <w:t xml:space="preserve">Slawik 等进一步将增量动态逆方法引入特种水下航行器的姿态控制中，结合标称水动力模型与传感器高频反馈在局部时间微元内补偿未建模动态与外扰，展现出良好的闭环抗扰能力 </w:t>
      </w:r>
      <w:hyperlink w:anchor="_Ref_Paper_11" w:history="1">
        <w:r>
          <w:rPr>
            <w:rFonts w:ascii="Times New Roman" w:hAnsi="Times New Roman" w:cs="Times New Roman" w:eastAsia="宋体"/>
            <w:sz w:val="24"/>
            <w:szCs w:val="24"/>
            <w:color w:val="000000"/>
            <w:highlight w:val="yellow"/>
            <w:vertAlign w:val="superscript"/>
          </w:rPr>
          <w:t>[11]</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对于配备八个推进器的全驱动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 xml:space="preserve">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Johansen 与 Fossen 在控制分配综述中系统总结了无约束广义逆、有界二次规划及再分配方法的理论体系</w:t>
      </w:r>
      <w:hyperlink w:anchor="_Ref_Paper_12" w:history="1">
        <w:r>
          <w:rPr>
            <w:rFonts w:ascii="Times New Roman" w:hAnsi="Times New Roman" w:cs="Times New Roman" w:eastAsia="宋体"/>
            <w:sz w:val="24"/>
            <w:szCs w:val="24"/>
            <w:color w:val="000000"/>
            <w:highlight w:val="yellow"/>
            <w:vertAlign w:val="superscript"/>
          </w:rPr>
          <w:t>[12]</w:t>
        </w:r>
      </w:hyperlink>
      <w:r>
        <w:rPr>
          <w:rFonts w:ascii="Times New Roman" w:hAnsi="Times New Roman" w:cs="Times New Roman" w:eastAsia="宋体"/>
          <w:b w:val="0"/>
          <w:i w:val="0"/>
          <w:color w:val="000000"/>
          <w:sz w:val="24"/>
          <w:highlight w:val="yellow"/>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highlight w:val="yellow"/>
            <w:vertAlign w:val="superscript"/>
          </w:rPr>
          <w:t>[13]</w:t>
        </w:r>
      </w:hyperlink>
      <w:r>
        <w:rPr>
          <w:rFonts w:ascii="Times New Roman" w:hAnsi="Times New Roman" w:cs="Times New Roman" w:eastAsia="宋体"/>
          <w:b w:val="0"/>
          <w:i w:val="0"/>
          <w:color w:val="000000"/>
          <w:sz w:val="24"/>
          <w:highlight w:val="yellow"/>
        </w:rPr>
        <w:t>。</w:t>
      </w:r>
      <w:r>
        <w:rPr>
          <w:rFonts w:ascii="Times New Roman" w:hAnsi="Times New Roman" w:cs="Times New Roman" w:eastAsia="宋体"/>
          <w:b w:val="0"/>
          <w:i w:val="0"/>
          <w:color w:val="000000"/>
          <w:sz w:val="24"/>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4" w:history="1">
        <w:r>
          <w:rPr>
            <w:rFonts w:ascii="Times New Roman" w:hAnsi="Times New Roman" w:cs="Times New Roman" w:eastAsia="宋体"/>
            <w:sz w:val="24"/>
            <w:szCs w:val="24"/>
            <w:color w:val="000000"/>
            <w:highlight w:val="yellow"/>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提出了兼顾推力约束与分配效率的多级推力分配策略，在多推进器协调与能耗控制方面取得了良好效果</w:t>
      </w:r>
      <w:hyperlink w:anchor="_Ref_Paper_15" w:history="1">
        <w:r>
          <w:rPr>
            <w:rFonts w:ascii="Times New Roman" w:hAnsi="Times New Roman" w:cs="Times New Roman" w:eastAsia="宋体"/>
            <w:sz w:val="24"/>
            <w:szCs w:val="24"/>
            <w:color w:val="000000"/>
            <w:highlight w:val="yellow"/>
            <w:vertAlign w:val="superscript"/>
          </w:rPr>
          <w:t>[15]</w:t>
        </w:r>
      </w:hyperlink>
      <w:r>
        <w:rPr>
          <w:rFonts w:ascii="Times New Roman" w:hAnsi="Times New Roman" w:cs="Times New Roman" w:eastAsia="宋体"/>
          <w:b w:val="0"/>
          <w:i w:val="0"/>
          <w:color w:val="000000"/>
          <w:sz w:val="24"/>
        </w:rPr>
        <w:t>。由此可见，</w:t>
      </w:r>
      <w:r>
        <w:rPr>
          <w:rFonts w:ascii="Times New Roman" w:hAnsi="Times New Roman" w:cs="Times New Roman" w:eastAsia="宋体"/>
          <w:b w:val="0"/>
          <w:i w:val="0"/>
          <w:color w:val="000000"/>
          <w:sz w:val="24"/>
        </w:rPr>
        <w:t xml:space="preserve">根据已有八推进器平台的空间安装位置、推力矢量方向及力臂关系，准确建立反映平台真实几何构型的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软件框架是当前无人系统领域广泛应用的开源嵌入式控制软件框架之一</w:t>
      </w:r>
      <w:hyperlink w:anchor="_Ref_Paper_16" w:history="1">
        <w:r>
          <w:rPr>
            <w:rFonts w:ascii="Times New Roman" w:hAnsi="Times New Roman" w:cs="Times New Roman" w:eastAsia="宋体"/>
            <w:sz w:val="24"/>
            <w:szCs w:val="24"/>
            <w:color w:val="000000"/>
            <w:highlight w:val="yellow"/>
            <w:vertAlign w:val="superscript"/>
          </w:rPr>
          <w:t>[16]</w:t>
        </w:r>
      </w:hyperlink>
      <w:r>
        <w:rPr>
          <w:rFonts w:ascii="Times New Roman" w:hAnsi="Times New Roman" w:cs="Times New Roman" w:eastAsia="宋体"/>
          <w:b w:val="0"/>
          <w:i w:val="0"/>
          <w:color w:val="000000"/>
          <w:sz w:val="24"/>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主要针对空中多旋翼与固定翼飞行器进行设计。凭借其模块化的控制分配架构与良好的可扩展性，近年来国内外研究团队开始将 PX4 引入水下无人航行器研究领域。</w:t>
      </w:r>
      <w:r>
        <w:rPr>
          <w:rFonts w:ascii="Times New Roman" w:hAnsi="Times New Roman" w:cs="Times New Roman" w:eastAsia="宋体"/>
          <w:b w:val="0"/>
          <w:i w:val="0"/>
          <w:color w:val="000000"/>
          <w:sz w:val="24"/>
          <w:highlight w:val="yellow"/>
        </w:rPr>
        <w:t>Duecker 等推出了开源水下平台 HippoCampus X，依托基于 PX4 的软件在环仿真与水池实验完成了受限水域下的三维机动控制验证，证实了基于 PX4/SITL 构建水下航行器闭环仿真与控制验证体系的工程合理性</w:t>
      </w:r>
      <w:hyperlink w:anchor="_Ref_Paper_17" w:history="1">
        <w:r>
          <w:rPr>
            <w:rFonts w:ascii="Times New Roman" w:hAnsi="Times New Roman" w:cs="Times New Roman" w:eastAsia="宋体"/>
            <w:sz w:val="24"/>
            <w:szCs w:val="24"/>
            <w:color w:val="000000"/>
            <w:highlight w:val="yellow"/>
            <w:vertAlign w:val="superscript"/>
          </w:rPr>
          <w:t>[17]</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[2]</w:t>
            </w:r>
            <w:r>
              <w:rPr>
                <w:rFonts w:ascii="Times New Roman" w:hAnsi="Times New Roman" w:cs="Times New Roman" w:eastAsia="宋体"/>
                <w:b w:val="0"/>
                <w:i w:val="0"/>
                <w:color w:val="000000"/>
                <w:sz w:val="19"/>
                <w:highlight w:val="yellow"/>
              </w:rPr>
              <w:t xml:space="preserve">, </w:t>
            </w:r>
            <w:r>
              <w:rPr>
                <w:rFonts w:ascii="Times New Roman" w:hAnsi="Times New Roman" w:cs="Times New Roman" w:eastAsia="宋体"/>
                <w:b w:val="0"/>
                <w:i w:val="0"/>
                <w:color w:val="000000"/>
                <w:sz w:val="19"/>
                <w:highlight w:val="yellow"/>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理论解耦与跟踪精度高；但对</w:t>
            </w:r>
            <w:r>
              <w:rPr>
                <w:rFonts w:ascii="Times New Roman" w:hAnsi="Times New Roman" w:cs="Times New Roman" w:eastAsia="宋体"/>
                <w:b w:val="0"/>
                <w:i w:val="0"/>
                <w:color w:val="000000"/>
                <w:sz w:val="19"/>
                <w:highlight w:val="yellow"/>
              </w:rPr>
              <w:t>复杂构型</w:t>
            </w:r>
            <w:r>
              <w:rPr>
                <w:rFonts w:ascii="Times New Roman" w:hAnsi="Times New Roman" w:cs="Times New Roman" w:eastAsia="宋体"/>
                <w:b w:val="0"/>
                <w:i w:val="0"/>
                <w:color w:val="000000"/>
                <w:sz w:val="19"/>
              </w:rPr>
              <w:t xml:space="preserve">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[11]</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机理建模与数据辨识相结合获取标称模型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19"/>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建立八推进器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19"/>
              </w:rPr>
              <w:t xml:space="preserve"> 控制分配矩阵 </w:t>
            </w:r>
            <m:oMath>
              <m:r>
                <m:rPr>
                  <m:sty m:val="bi"/>
                </m:rPr>
                <w:rPr>
                  <w:rFonts w:ascii="Cambria Math" w:hAnsi="Cambria Math" w:eastAsia="宋体"/>
                  <w:sz w:val="24"/>
                  <w:szCs w:val="24"/>
                </w:rPr>
                <m:t>B</m:t>
              </m:r>
            </m:oMath>
            <w:r>
              <w:rPr>
                <w:rFonts w:ascii="Times New Roman" w:hAnsi="Times New Roman" w:cs="Times New Roman" w:eastAsia="宋体"/>
                <w:b w:val="0"/>
                <w:i w:val="0"/>
                <w:color w:val="000000"/>
                <w:sz w:val="19"/>
              </w:rPr>
              <w:t xml:space="preserve">，考虑基本推力输出范围约束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w:t>
      </w:r>
      <w:r>
        <w:rPr>
          <w:rFonts w:ascii="Times New Roman" w:hAnsi="Times New Roman" w:cs="Times New Roman" w:eastAsia="宋体"/>
          <w:b w:val="0"/>
          <w:i w:val="0"/>
          <w:color w:val="000000"/>
          <w:sz w:val="24"/>
        </w:rPr>
        <w:t>以已有八推进器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水下航行器为对象，系统推进六自由度动力学与推进器建模、基于相关数据的系统辨识与模型验证、基于模型和状态反馈的运动控制设计、八推进器控制分配</w:t>
      </w:r>
      <w:r>
        <w:rPr>
          <w:rFonts w:ascii="Times New Roman" w:hAnsi="Times New Roman" w:cs="Times New Roman" w:eastAsia="宋体"/>
          <w:b w:val="0"/>
          <w:i w:val="0"/>
          <w:color w:val="000000"/>
          <w:sz w:val="24"/>
        </w:rPr>
        <w:t>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rPr>
        <w:t>依托已有八推进器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水下航行器平台，建立能够反映航行器主要动态特性的六自由度动力学模型与推进器模型，结合平台参数资料和相关数据完成系统辨识与模型验证</w:t>
      </w:r>
      <w:r>
        <w:rPr>
          <w:rFonts w:ascii="Times New Roman" w:hAnsi="Times New Roman" w:cs="Times New Roman" w:eastAsia="宋体"/>
          <w:b w:val="0"/>
          <w:i w:val="0"/>
          <w:color w:val="000000"/>
          <w:sz w:val="24"/>
        </w:rPr>
        <w:t>；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水下航行器动力学与推进器建模：</w:t>
      </w:r>
      <w:r>
        <w:rPr>
          <w:rFonts w:ascii="Times New Roman" w:hAnsi="Times New Roman" w:cs="Times New Roman" w:eastAsia="宋体"/>
          <w:b w:val="0"/>
          <w:i w:val="0"/>
          <w:color w:val="000000"/>
          <w:sz w:val="24"/>
        </w:rPr>
        <w:t>依托已有八推进器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水下航行器平台，梳理其机械构型与推进器三维几何布局</w:t>
      </w:r>
      <w:r>
        <w:rPr>
          <w:rFonts w:ascii="Times New Roman" w:hAnsi="Times New Roman" w:cs="Times New Roman" w:eastAsia="宋体"/>
          <w:b w:val="0"/>
          <w:i w:val="0"/>
          <w:color w:val="000000"/>
          <w:sz w:val="24"/>
        </w:rPr>
        <w:t>，建立六自由度运动学与非线性动力学模型，系统考虑刚体惯性、水动力附加质量、科氏向心力、线性和二次非线性水动力阻尼以及重浮力恢复力矩等主导物理效应；</w:t>
      </w:r>
      <w:r>
        <w:rPr>
          <w:rFonts w:ascii="Times New Roman" w:hAnsi="Times New Roman" w:cs="Times New Roman" w:eastAsia="宋体"/>
          <w:b w:val="0"/>
          <w:i w:val="0"/>
          <w:color w:val="000000"/>
          <w:sz w:val="24"/>
          <w:highlight w:val="yellow"/>
        </w:rPr>
        <w:t>结合已有平台推进器参数资料，建立单推进器控制输入与推力输出之间的静态映射关系并明确基本推力输出范围</w:t>
      </w:r>
      <w:r>
        <w:rPr>
          <w:rFonts w:ascii="Times New Roman" w:hAnsi="Times New Roman" w:cs="Times New Roman" w:eastAsia="宋体"/>
          <w:b w:val="0"/>
          <w:i w:val="0"/>
          <w:color w:val="000000"/>
          <w:sz w:val="24"/>
        </w:rPr>
        <w:t>，为系统辨识、控制设计与</w:t>
      </w:r>
      <w:r>
        <w:rPr>
          <w:rFonts w:ascii="Times New Roman" w:hAnsi="Times New Roman" w:cs="Times New Roman" w:eastAsia="宋体"/>
          <w:b w:val="0"/>
          <w:i w:val="0"/>
          <w:color w:val="000000"/>
          <w:sz w:val="24"/>
          <w:highlight w:val="yellow"/>
        </w:rPr>
        <w:t>推力分配</w:t>
      </w:r>
      <w:r>
        <w:rPr>
          <w:rFonts w:ascii="Times New Roman" w:hAnsi="Times New Roman" w:cs="Times New Roman" w:eastAsia="宋体"/>
          <w:b w:val="0"/>
          <w:i w:val="0"/>
          <w:color w:val="000000"/>
          <w:sz w:val="24"/>
        </w:rPr>
        <w:t>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系统辨识与模型验证分析：</w:t>
      </w:r>
      <w:r>
        <w:rPr>
          <w:rFonts w:ascii="Times New Roman" w:hAnsi="Times New Roman" w:cs="Times New Roman" w:eastAsia="宋体"/>
          <w:b w:val="0"/>
          <w:i w:val="0"/>
          <w:color w:val="000000"/>
          <w:sz w:val="24"/>
        </w:rPr>
        <w:t>在理论动力学模型基础上，分析各自由度动力学方程中未知参数的可辨识性，明确系统辨识的激励输入、状态响应输出及所需数据关系；</w:t>
      </w:r>
      <w:r>
        <w:rPr>
          <w:rFonts w:ascii="Times New Roman" w:hAnsi="Times New Roman" w:cs="Times New Roman" w:eastAsia="宋体"/>
          <w:b w:val="0"/>
          <w:i w:val="0"/>
          <w:color w:val="000000"/>
          <w:sz w:val="24"/>
        </w:rPr>
        <w:t>结合已有平台</w:t>
      </w:r>
      <w:r>
        <w:rPr>
          <w:rFonts w:ascii="Times New Roman" w:hAnsi="Times New Roman" w:cs="Times New Roman" w:eastAsia="宋体"/>
          <w:b w:val="0"/>
          <w:i w:val="0"/>
          <w:color w:val="000000"/>
          <w:sz w:val="24"/>
          <w:highlight w:val="yellow"/>
        </w:rPr>
        <w:t>结构与质量先验参数及特征工况（如阶跃推力或自由衰减）</w:t>
      </w:r>
      <w:r>
        <w:rPr>
          <w:rFonts w:ascii="Times New Roman" w:hAnsi="Times New Roman" w:cs="Times New Roman" w:eastAsia="宋体"/>
          <w:b w:val="0"/>
          <w:i w:val="0"/>
          <w:color w:val="000000"/>
          <w:sz w:val="24"/>
        </w:rPr>
        <w:t>动态响应数据开展系统参数辨识，对水动力附加质量与阻尼等关键未知量进行估计与修正</w:t>
      </w:r>
      <w:r>
        <w:rPr>
          <w:rFonts w:ascii="Times New Roman" w:hAnsi="Times New Roman" w:cs="Times New Roman" w:eastAsia="宋体"/>
          <w:b w:val="0"/>
          <w:i w:val="0"/>
          <w:color w:val="000000"/>
          <w:sz w:val="24"/>
        </w:rPr>
        <w:t>；通过代表性动态响应对比模型输出与测试数据，量化评估模型拟合误差与残差分布，明确标称模型的物理保真度与工程适用范围。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rPr>
        <w:t>3） 模型运动控制与八推进器控制分配：</w:t>
      </w:r>
      <w:r>
        <w:rPr>
          <w:rFonts w:ascii="Times New Roman" w:hAnsi="Times New Roman" w:cs="Times New Roman" w:eastAsia="宋体"/>
          <w:b w:val="0"/>
          <w:i w:val="0"/>
          <w:color w:val="000000"/>
          <w:sz w:val="24"/>
        </w:rPr>
        <w:t>以经验证的航行器标称模型为基石，结合动力学已知特性补偿与实时状态反馈构建闭环运动控制律，</w:t>
      </w:r>
      <w:r>
        <w:rPr>
          <w:rFonts w:ascii="Times New Roman" w:hAnsi="Times New Roman" w:cs="Times New Roman" w:eastAsia="宋体"/>
          <w:b w:val="0"/>
          <w:i w:val="0"/>
          <w:color w:val="000000"/>
          <w:sz w:val="24"/>
          <w:highlight w:val="yellow"/>
        </w:rPr>
        <w:t>支持经典 PID 控制与模型补偿控制算法的多工况横向对比，</w:t>
      </w:r>
      <w:r>
        <w:rPr>
          <w:rFonts w:ascii="Times New Roman" w:hAnsi="Times New Roman" w:cs="Times New Roman" w:eastAsia="宋体"/>
          <w:b w:val="0"/>
          <w:i w:val="0"/>
          <w:color w:val="000000"/>
          <w:sz w:val="24"/>
        </w:rPr>
        <w:t>输出机体期望的六自由度广义力和力矩，实现姿态、深度和航向等基本运动状态的闭环稳定跟踪，并考察模型不确定性与外部扰动对控制性能的影响；</w:t>
      </w:r>
      <w:r>
        <w:rPr>
          <w:rFonts w:ascii="Times New Roman" w:hAnsi="Times New Roman" w:cs="Times New Roman" w:eastAsia="宋体"/>
          <w:b w:val="0"/>
          <w:i w:val="0"/>
          <w:color w:val="000000"/>
          <w:sz w:val="24"/>
        </w:rPr>
        <w:t xml:space="preserve">根据已有平台推进器空间安装位置与推力方向矢量构建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，系统考虑推进器</w:t>
      </w:r>
      <w:r>
        <w:rPr>
          <w:rFonts w:ascii="Times New Roman" w:hAnsi="Times New Roman" w:cs="Times New Roman" w:eastAsia="宋体"/>
          <w:b w:val="0"/>
          <w:i w:val="0"/>
          <w:color w:val="000000"/>
          <w:sz w:val="24"/>
          <w:highlight w:val="yellow"/>
        </w:rPr>
        <w:t>基本</w:t>
      </w:r>
      <w:r>
        <w:rPr>
          <w:rFonts w:ascii="Times New Roman" w:hAnsi="Times New Roman" w:cs="Times New Roman" w:eastAsia="宋体"/>
          <w:b w:val="0"/>
          <w:i w:val="0"/>
          <w:color w:val="000000"/>
          <w:sz w:val="24"/>
        </w:rPr>
        <w:t>推力输出范围约束生成各推进器推力指令，量化分析控制分配误差与推力饱和情况。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在 PX4/SITL 仿真环境中构建由航行器动力学模型、运动控制模块和八推进器控制分配模块组成的闭环仿真系统，依托 uORB 异步微消息总线完成位姿状态、期望力矩与推进器控制指令的高频实时交互；</w:t>
      </w:r>
      <w:r>
        <w:rPr>
          <w:rFonts w:ascii="Times New Roman" w:hAnsi="Times New Roman" w:cs="Times New Roman" w:eastAsia="宋体"/>
          <w:b w:val="0"/>
          <w:i w:val="0"/>
          <w:color w:val="000000"/>
          <w:sz w:val="24"/>
          <w:highlight w:val="yellow"/>
        </w:rPr>
        <w:t>设置空间定点悬停、姿态稳定、定深控制与定航控制等典型运动工况及适量外部水流扰动条件开展闭环仿真</w:t>
      </w:r>
      <w:r>
        <w:rPr>
          <w:rFonts w:ascii="Times New Roman" w:hAnsi="Times New Roman" w:cs="Times New Roman" w:eastAsia="宋体"/>
          <w:b w:val="0"/>
          <w:i w:val="0"/>
          <w:color w:val="000000"/>
          <w:sz w:val="24"/>
        </w:rPr>
        <w:t>，综合位置/姿态跟踪误差、动态响应指标及控制分配残差开展系统性定量性能评估。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 六自由度动力学与推进器建模方法：</w:t>
      </w:r>
      <w:r>
        <w:rPr>
          <w:rFonts w:ascii="Times New Roman" w:hAnsi="Times New Roman" w:cs="Times New Roman" w:eastAsia="宋体"/>
          <w:b w:val="0"/>
          <w:i w:val="0"/>
          <w:color w:val="000000"/>
          <w:sz w:val="24"/>
          <w:highlight w:val="yellow"/>
        </w:rPr>
        <w:t>如图 2 所示，建立惯性坐标系</w:t>
      </w:r>
      <w:r>
        <w:rPr>
          <w:rFonts w:ascii="Times New Roman" w:hAnsi="Times New Roman" w:cs="Times New Roman" w:eastAsia="宋体"/>
          <w:b w:val="0"/>
          <w:i w:val="0"/>
          <w:color w:val="000000"/>
          <w:sz w:val="24"/>
        </w:rPr>
        <w:t xml:space="preserve">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为包含线性与二次非线性项的水动力阻尼矩阵；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为重力与浮力恢复力矩矢量；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w:t>
      </w:r>
      <w:r>
        <w:rPr>
          <w:rFonts w:ascii="Times New Roman" w:hAnsi="Times New Roman" w:cs="Times New Roman" w:eastAsia="宋体"/>
          <w:b w:val="0"/>
          <w:i w:val="0"/>
          <w:color w:val="000000"/>
          <w:sz w:val="24"/>
          <w:highlight w:val="yellow"/>
        </w:rPr>
        <w:t xml:space="preserve">结合已有平台推进器参数资料，建立单推进器控制输入到推力输出的静态特性映射关系，明确推进器正向与反向推力的基本输出边界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00696"/>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200696"/>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2</w:t>
      </w:r>
      <w:r>
        <w:rPr>
          <w:rFonts w:ascii="Times New Roman" w:hAnsi="Times New Roman" w:cs="Times New Roman" w:eastAsia="宋体"/>
          <w:b/>
          <w:i w:val="0"/>
          <w:color w:val="000000"/>
          <w:sz w:val="21"/>
        </w:rPr>
        <w:t xml:space="preserve">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系统辨识与模型验证方法：</w:t>
      </w:r>
      <w:r>
        <w:rPr>
          <w:rFonts w:ascii="Times New Roman" w:hAnsi="Times New Roman" w:cs="Times New Roman" w:eastAsia="宋体"/>
          <w:b w:val="0"/>
          <w:i w:val="0"/>
          <w:color w:val="000000"/>
          <w:sz w:val="24"/>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根据动力学方程构造激励输入（推进器推力或广义控制力）与状态输出（线速度、角速度、姿态、深度等动态响应）之间的参数化辨识关系，</w:t>
      </w:r>
      <w:r>
        <w:rPr>
          <w:rFonts w:ascii="Times New Roman" w:hAnsi="Times New Roman" w:cs="Times New Roman" w:eastAsia="宋体"/>
          <w:b w:val="0"/>
          <w:i w:val="0"/>
          <w:color w:val="000000"/>
          <w:sz w:val="24"/>
        </w:rPr>
        <w:t>利用平台参数资料及</w:t>
      </w:r>
      <w:r>
        <w:rPr>
          <w:rFonts w:ascii="Times New Roman" w:hAnsi="Times New Roman" w:cs="Times New Roman" w:eastAsia="宋体"/>
          <w:b w:val="0"/>
          <w:i w:val="0"/>
          <w:color w:val="000000"/>
          <w:sz w:val="24"/>
          <w:highlight w:val="yellow"/>
        </w:rPr>
        <w:t>特征工况</w:t>
      </w:r>
      <w:r>
        <w:rPr>
          <w:rFonts w:ascii="Times New Roman" w:hAnsi="Times New Roman" w:cs="Times New Roman" w:eastAsia="宋体"/>
          <w:b w:val="0"/>
          <w:i w:val="0"/>
          <w:color w:val="000000"/>
          <w:sz w:val="24"/>
        </w:rPr>
        <w:t xml:space="preserve">动态响应数据对未知参数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 进行参数估计与修正。</w:t>
      </w:r>
      <w:r>
        <w:rPr>
          <w:rFonts w:ascii="Times New Roman" w:hAnsi="Times New Roman" w:cs="Times New Roman" w:eastAsia="宋体"/>
          <w:b w:val="0"/>
          <w:i w:val="0"/>
          <w:color w:val="000000"/>
          <w:sz w:val="24"/>
        </w:rPr>
        <w:t xml:space="preserve">随后，通过代表性动态响应对比模型输出与相关数据，定量评估模型偏差并明确模型适用范围，获得经验证的标称模型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 基于模型与状态反馈的闭环运动控制方法：</w:t>
      </w:r>
      <w:r>
        <w:rPr>
          <w:rFonts w:ascii="Times New Roman" w:hAnsi="Times New Roman" w:cs="Times New Roman" w:eastAsia="宋体"/>
          <w:b w:val="0"/>
          <w:i w:val="0"/>
          <w:color w:val="000000"/>
          <w:sz w:val="24"/>
        </w:rPr>
        <w:t xml:space="preserve">以经验证的航行器标称模型为基础，设参考运动状态为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w:t>
      </w:r>
      <w:r>
        <w:rPr>
          <w:rFonts w:ascii="Times New Roman" w:hAnsi="Times New Roman" w:cs="Times New Roman" w:eastAsia="宋体"/>
          <w:b w:val="0"/>
          <w:i w:val="0"/>
          <w:color w:val="000000"/>
          <w:sz w:val="24"/>
          <w:highlight w:val="yellow"/>
        </w:rPr>
        <w:t>经典 PID、</w:t>
      </w:r>
      <w:r>
        <w:rPr>
          <w:rFonts w:ascii="Times New Roman" w:hAnsi="Times New Roman" w:cs="Times New Roman" w:eastAsia="宋体"/>
          <w:b w:val="0"/>
          <w:i w:val="0"/>
          <w:color w:val="000000"/>
          <w:sz w:val="24"/>
        </w:rPr>
        <w:t>模型前馈补偿、反馈线性化或增量动态逆</w:t>
      </w:r>
      <w:r>
        <w:rPr>
          <w:rFonts w:ascii="Times New Roman" w:hAnsi="Times New Roman" w:cs="Times New Roman" w:eastAsia="宋体"/>
          <w:b w:val="0"/>
          <w:i w:val="0"/>
          <w:color w:val="000000"/>
          <w:sz w:val="24"/>
          <w:highlight w:val="yellow"/>
        </w:rPr>
        <w:t>控制</w:t>
      </w:r>
      <w:r>
        <w:rPr>
          <w:rFonts w:ascii="Times New Roman" w:hAnsi="Times New Roman" w:cs="Times New Roman" w:eastAsia="宋体"/>
          <w:b w:val="0"/>
          <w:i w:val="0"/>
          <w:color w:val="000000"/>
          <w:sz w:val="24"/>
        </w:rPr>
        <w:t>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rPr>
        <w:t>4） 八推进器控制分配方法：</w:t>
      </w:r>
      <w:r>
        <w:rPr>
          <w:rFonts w:ascii="Times New Roman" w:hAnsi="Times New Roman" w:cs="Times New Roman" w:eastAsia="宋体"/>
          <w:b w:val="0"/>
          <w:i w:val="0"/>
          <w:color w:val="000000"/>
          <w:sz w:val="24"/>
        </w:rPr>
        <w:t>如图 2(b) 所示，已有平台包含水平面 4 台矢量倾斜推进器（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）与垂直面 4 台垂向对称推进器（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 xml:space="preserve">）。根据第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个推进器（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 与推力方向单位矢量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的有界控制分配方法，量化分析控制分配残差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 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、动态响应指标及控制分配残差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2.2 </w:t>
      </w:r>
      <w:r>
        <w:rPr>
          <w:rFonts w:ascii="Times New Roman" w:hAnsi="Times New Roman" w:cs="Times New Roman" w:eastAsia="黑体"/>
          <w:b w:val="0"/>
          <w:i w:val="0"/>
          <w:color w:val="000000"/>
          <w:sz w:val="24"/>
        </w:rPr>
        <w:t>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rPr>
        <w:t>本课题的总体研究技术路线</w:t>
      </w:r>
      <w:r>
        <w:rPr>
          <w:rFonts w:ascii="Times New Roman" w:hAnsi="Times New Roman" w:cs="Times New Roman" w:eastAsia="宋体"/>
          <w:b w:val="0"/>
          <w:i w:val="0"/>
          <w:color w:val="000000"/>
          <w:sz w:val="24"/>
          <w:highlight w:val="yellow"/>
        </w:rPr>
        <w:t>如图 3 所示</w:t>
      </w:r>
      <w:r>
        <w:rPr>
          <w:rFonts w:ascii="Times New Roman" w:hAnsi="Times New Roman" w:cs="Times New Roman" w:eastAsia="宋体"/>
          <w:b w:val="0"/>
          <w:i w:val="0"/>
          <w:color w:val="000000"/>
          <w:sz w:val="24"/>
        </w:rPr>
        <w:t>，基于PX4/SITL的水下航行器闭环仿真系统结构框图</w:t>
      </w:r>
      <w:r>
        <w:rPr>
          <w:rFonts w:ascii="Times New Roman" w:hAnsi="Times New Roman" w:cs="Times New Roman" w:eastAsia="宋体"/>
          <w:b w:val="0"/>
          <w:i w:val="0"/>
          <w:color w:val="000000"/>
          <w:sz w:val="24"/>
          <w:highlight w:val="yellow"/>
        </w:rPr>
        <w:t>如图 4 所示</w:t>
      </w:r>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3516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3516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3</w:t>
      </w:r>
      <w:r>
        <w:rPr>
          <w:rFonts w:ascii="Times New Roman" w:hAnsi="Times New Roman" w:cs="Times New Roman" w:eastAsia="宋体"/>
          <w:b/>
          <w:i w:val="0"/>
          <w:color w:val="000000"/>
          <w:sz w:val="21"/>
        </w:rPr>
        <w:t xml:space="preserve">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35871"/>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235871"/>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4</w:t>
      </w:r>
      <w:r>
        <w:rPr>
          <w:rFonts w:ascii="Times New Roman" w:hAnsi="Times New Roman" w:cs="Times New Roman" w:eastAsia="宋体"/>
          <w:b/>
          <w:i w:val="0"/>
          <w:color w:val="000000"/>
          <w:sz w:val="21"/>
        </w:rPr>
        <w:t xml:space="preserve">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highlight w:val="yellow"/>
        </w:rPr>
        <w:t>[1]</w:t>
      </w:r>
      <w:r>
        <w:rPr>
          <w:rFonts w:ascii="Times New Roman" w:hAnsi="Times New Roman" w:cs="Times New Roman" w:eastAsia="宋体"/>
          <w:b w:val="0"/>
          <w:i w:val="0"/>
          <w:color w:val="000000"/>
          <w:sz w:val="24"/>
          <w:highlight w:val="yellow"/>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highlight w:val="yellow"/>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highlight w:val="yellow"/>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highlight w:val="yellow"/>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highlight w:val="yellow"/>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highlight w:val="yellow"/>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highlight w:val="yellow"/>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highlight w:val="yellow"/>
        </w:rPr>
        <w:t>[8]</w:t>
      </w:r>
      <w:r>
        <w:rPr>
          <w:rFonts w:ascii="Times New Roman" w:hAnsi="Times New Roman" w:cs="Times New Roman" w:eastAsia="宋体"/>
          <w:b w:val="0"/>
          <w:i w:val="0"/>
          <w:color w:val="000000"/>
          <w:sz w:val="24"/>
          <w:highlight w:val="yellow"/>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highlight w:val="yellow"/>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highlight w:val="yellow"/>
        </w:rPr>
        <w:t>[12]</w:t>
      </w:r>
      <w:r>
        <w:rPr>
          <w:rFonts w:ascii="Times New Roman" w:hAnsi="Times New Roman" w:cs="Times New Roman" w:eastAsia="宋体"/>
          <w:b w:val="0"/>
          <w:i w:val="0"/>
          <w:color w:val="000000"/>
          <w:sz w:val="24"/>
          <w:highlight w:val="yellow"/>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highlight w:val="yellow"/>
        </w:rPr>
        <w:t>[13]</w:t>
      </w:r>
      <w:r>
        <w:rPr>
          <w:rFonts w:ascii="Times New Roman" w:hAnsi="Times New Roman" w:cs="Times New Roman" w:eastAsia="宋体"/>
          <w:b w:val="0"/>
          <w:i w:val="0"/>
          <w:color w:val="000000"/>
          <w:sz w:val="24"/>
          <w:highlight w:val="yellow"/>
        </w:rPr>
        <w:t xml:space="preserve">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highlight w:val="yellow"/>
        </w:rPr>
        <w:t>[14]</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highlight w:val="yellow"/>
        </w:rPr>
        <w:t>[15]</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highlight w:val="yellow"/>
        </w:rPr>
        <w:t>[16]</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highlight w:val="yellow"/>
        </w:rPr>
        <w:t>[17]</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