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14:paraId="7DC6BB69" w14:textId="77777777" w:rsidR="000F31AE" w:rsidRPr="00470EA2" w:rsidRDefault="00B20101" w:rsidP="003043C7">
            <w:pPr>
              <w:jc w:val="center"/>
              <w:rPr>
                <w:rFonts w:ascii="宋体" w:hAnsi="宋体"/>
                <w:sz w:val="28"/>
                <w:szCs w:val="28"/>
              </w:rPr>
            </w:pP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jc w:val="cente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14:paraId="70E9C4C5" w14:textId="77777777" w:rsidR="000F31AE" w:rsidRPr="00470EA2" w:rsidRDefault="000F31AE" w:rsidP="003043C7">
            <w:pPr>
              <w:jc w:val="center"/>
              <w:rPr>
                <w:rFonts w:ascii="宋体" w:hAnsi="宋体"/>
                <w:sz w:val="28"/>
                <w:szCs w:val="28"/>
              </w:rPr>
            </w:pP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14:paraId="789C06FD" w14:textId="77777777" w:rsidR="000F31AE" w:rsidRPr="00470EA2" w:rsidRDefault="000F31AE" w:rsidP="003043C7">
            <w:pPr>
              <w:jc w:val="center"/>
              <w:rPr>
                <w:rFonts w:ascii="宋体" w:hAnsi="宋体"/>
                <w:sz w:val="28"/>
                <w:szCs w:val="28"/>
              </w:rPr>
            </w:pP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14:paraId="7CAFE2BC" w14:textId="77777777" w:rsidR="00A21022" w:rsidRPr="00470EA2" w:rsidRDefault="00A21022" w:rsidP="003043C7">
            <w:pPr>
              <w:jc w:val="center"/>
              <w:rPr>
                <w:rFonts w:ascii="宋体" w:hAnsi="宋体"/>
                <w:sz w:val="28"/>
                <w:szCs w:val="28"/>
              </w:rPr>
            </w:pP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14:paraId="7286FA24" w14:textId="77777777" w:rsidR="00A21022" w:rsidRPr="00470EA2" w:rsidRDefault="00A21022" w:rsidP="003043C7">
            <w:pPr>
              <w:jc w:val="center"/>
              <w:rPr>
                <w:rFonts w:ascii="宋体" w:hAnsi="宋体"/>
                <w:sz w:val="28"/>
                <w:szCs w:val="28"/>
              </w:rPr>
            </w:pPr>
            <w:r>
              <w:rPr>
                <w:rFonts w:ascii="Times New Roman" w:hAnsi="Times New Roman" w:cs="Times New Roman" w:eastAsia="宋体"/>
                <w:b w:val="0"/>
                <w:i w:val="0"/>
                <w:color w:val="00000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ermStart w:id="1928413070" w:edGrp="everyone" w:colFirst="4" w:colLast="4"/>
            <w:permStart w:id="1573938271" w:edGrp="everyone" w:colFirst="2" w:colLast="2"/>
            <w:permStart w:id="1767062397" w:edGrp="everyone" w:colFirst="0" w:colLast="0"/>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exact"/>
        <w:ind w:firstLine="560"/>
        <w:rPr>
          <w:rFonts w:ascii="楷体" w:eastAsia="楷体" w:hAnsi="宋体" w:hint="eastAsia"/>
        </w:rPr>
      </w:pPr>
      <w:r w:rsidRPr="00470EA2">
        <w:rPr>
          <w:rFonts w:ascii="宋体" w:hAnsi="宋体"/>
          <w:sz w:val="28"/>
          <w:szCs w:val="28"/>
        </w:rPr>
        <w:br w:type="page"/>
      </w:r>
      <w:r w:rsidR="00117889">
        <w:rPr>
          <w:rFonts w:ascii="黑体" w:eastAsia="黑体" w:hint="eastAsia"/>
          <w:sz w:val="28"/>
        </w:rPr>
        <w:lastRenderedPageBreak/>
        <w:t>一、</w:t>
      </w:r>
      <w:permStart w:id="220558113" w:edGrp="everyone"/>
      <w:r w:rsidR="00F71C2A">
        <w:rPr>
          <w:rFonts w:ascii="黑体" w:eastAsia="黑体" w:hint="eastAsia"/>
          <w:sz w:val="28"/>
        </w:rPr>
        <w:t>毕业论文</w:t>
      </w:r>
      <w:permEnd w:id="220558113"/>
      <w:r w:rsidR="00857EAE">
        <w:rPr>
          <w:rFonts w:ascii="黑体" w:eastAsia="黑体" w:hint="eastAsia"/>
          <w:sz w:val="28"/>
        </w:rPr>
        <w:t>课题背景</w:t>
      </w:r>
    </w:p>
    <w:p>
      <w:pPr>
        <w:pStyle w:val="a6"/>
        <w:jc w:val="left"/>
        <w:spacing w:line="360" w:lineRule="auto" w:beforeLines="50" w:before="120" w:afterLines="50" w:after="120"/>
        <w:ind w:firstLine="0" w:firstLineChars="0" w:left="0"/>
      </w:pPr>
      <w:permStart w:id="1319923814" w:edGrp="everyone"/>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rPr>
        <w:t>已有的八推进器便携式水下航行器（Remotely Operated Vehicle，ROV）实验平台方案及相关结构数据开展研究（平台实物如图1所示）。该平台采用双圆筒耐压舱与碳纤维板紧凑集成的结构形式，具备水平面4台矢量倾斜与垂直面4台垂向对称布置的八推进器驱动能力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rPr>
        <w:t>图1 实验室八推进器便携式水下航行器实验平台实物图</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 PX4/SITL 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系统提出了海洋航行器六自由度非线性矢量建模理论体系。该体系将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提出了基于自由衰减试验（Free Decay Tests）辨识水下航行器水动力系数的方法，通过释放初始位移并记录单自由度衰减振荡曲线即可解算出主要惯性与阻尼参数；Avila 等</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水下航行器开展了实验水动力模型辨识研究，结合阶跃推力激励与频域响应分析对附加质量与流体阻尼特性进行了定量标定；Chin 与 Lau</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开展了水动力阻尼建模与试验对比，分析了不同速度区间线性阻尼与二次非线性阻尼的主导权重。国内哈尔滨工程大学高婷、庞永杰等</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针对复杂构型水下航行器水动力系数计算方法开展了系统研究，结合几何特征分析与试验修正建立了面向控制设计的实用化模型。</w:t>
      </w:r>
      <w:r>
        <w:rPr>
          <w:rFonts w:ascii="Times New Roman" w:hAnsi="Times New Roman" w:cs="Times New Roman" w:eastAsia="宋体"/>
          <w:b w:val="0"/>
          <w:i w:val="0"/>
          <w:color w:val="000000"/>
          <w:sz w:val="24"/>
        </w:rPr>
        <w:t>近年来，von Benzon 等</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面向主流八推进器 BlueROV2 平台建立了开源物理仿真与动力学基准，提供了标准化的模型参数与对比基础。这表明，直接采用经典六自由度动力学方程结构、对水动力矩阵做合理工程简化，并结合特征激励响应数据通过参数拟合辨识未知水动力系数，是构建水下航行器实用化动力学模型的成熟路径。</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在常规工程实践与开源水下飞控中，不依赖动力学模型的独立单回路 PID 或串级 PID 控制应用最为广泛，其在平稳水流环境下的定点悬停或低速巡航中具备结构简单、易于初调的优势</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针对观测级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；Chu 等</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围绕非线性解耦与抗扰，基于反馈线性化、动态逆以及增量非线性动态逆（INDI）的控制方法也受到广泛关注，例如 Slawik 等</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将增量动态逆方法引入水下航行器姿态控制中，利用机体惯性与控制效能模型配合高频状态反馈在局部时间微元内抵消未建模水动力阻尼与外部流扰，展现出良好的抗扰能力。</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而言，其独立的物理执行器数量（8个推进器）大于空间六自由度广义力与力矩的数量（6个控制维度），属于典型的过驱动（Over-actuated）冗余控制系统。上层运动控制器计算出的是机体所需的六维期望广义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，而实际作用于水体的是各推进器产生的推力矢量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Johansen 与 Fossen</w:t>
      </w:r>
      <w:hyperlink w:anchor="_Ref_Paper_12" w:history="1">
        <w:r>
          <w:rPr>
            <w:rFonts w:ascii="Times New Roman" w:hAnsi="Times New Roman" w:cs="Times New Roman" w:eastAsia="宋体"/>
            <w:sz w:val="24"/>
            <w:szCs w:val="24"/>
            <w:color w:val="000000"/>
            <w:vertAlign w:val="superscript"/>
          </w:rPr>
          <w:t>[12]</w:t>
        </w:r>
      </w:hyperlink>
      <w:r>
        <w:rPr>
          <w:rFonts w:ascii="Times New Roman" w:hAnsi="Times New Roman" w:cs="Times New Roman" w:eastAsia="宋体"/>
          <w:b w:val="0"/>
          <w:i w:val="0"/>
          <w:color w:val="000000"/>
          <w:sz w:val="24"/>
        </w:rPr>
        <w:t>在控制分配综述中系统总结了过驱动系统无约束广义逆、加权伪逆、有界优化及再分配等典型推力分配方法的理论框架。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w:t>
      </w:r>
      <w:hyperlink w:anchor="_Ref_Paper_13" w:history="1">
        <w:r>
          <w:rPr>
            <w:rFonts w:ascii="Times New Roman" w:hAnsi="Times New Roman" w:cs="Times New Roman" w:eastAsia="宋体"/>
            <w:sz w:val="24"/>
            <w:szCs w:val="24"/>
            <w:color w:val="000000"/>
            <w:vertAlign w:val="superscript"/>
          </w:rPr>
          <w:t>[13]</w:t>
        </w:r>
      </w:hyperlink>
      <w:r>
        <w:rPr>
          <w:rFonts w:ascii="Times New Roman" w:hAnsi="Times New Roman" w:cs="Times New Roman" w:eastAsia="宋体"/>
          <w:b w:val="0"/>
          <w:i w:val="0"/>
          <w:color w:val="000000"/>
          <w:sz w:val="24"/>
        </w:rPr>
        <w:t>针对水下机器人推力器物理输出上限，研究了基于可行方向法等处理推力边界约束的分配算法，</w:t>
      </w:r>
      <w:r>
        <w:rPr>
          <w:rFonts w:ascii="Times New Roman" w:hAnsi="Times New Roman" w:cs="Times New Roman" w:eastAsia="宋体"/>
          <w:b w:val="0"/>
          <w:i w:val="0"/>
          <w:color w:val="000000"/>
          <w:sz w:val="24"/>
        </w:rPr>
        <w:t>有效减小了推力饱和引起的力矩畸变</w:t>
      </w:r>
      <w:r>
        <w:rPr>
          <w:rFonts w:ascii="Times New Roman" w:hAnsi="Times New Roman" w:cs="Times New Roman" w:eastAsia="宋体"/>
          <w:b w:val="0"/>
          <w:i w:val="0"/>
          <w:color w:val="000000"/>
          <w:sz w:val="24"/>
        </w:rPr>
        <w:t>；孙广威等</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针对矢量推进 ROV 提出了兼顾推力约束与分配效率的多级推力分配策略，</w:t>
      </w:r>
      <w:r>
        <w:rPr>
          <w:rFonts w:ascii="Times New Roman" w:hAnsi="Times New Roman" w:cs="Times New Roman" w:eastAsia="宋体"/>
          <w:b w:val="0"/>
          <w:i w:val="0"/>
          <w:color w:val="000000"/>
          <w:sz w:val="24"/>
        </w:rPr>
        <w:t>提升了多推进器协调能力。由此可见，</w:t>
      </w:r>
      <w:r>
        <w:rPr>
          <w:rFonts w:ascii="Times New Roman" w:hAnsi="Times New Roman" w:cs="Times New Roman" w:eastAsia="宋体"/>
          <w:b w:val="0"/>
          <w:i w:val="0"/>
          <w:color w:val="000000"/>
          <w:sz w:val="24"/>
        </w:rPr>
        <w:t>依据平台八推进器真实几何构型建立准确的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主导研发的 PX4 Autopilot 是当前无人系统领域广泛应用的开源嵌入式控制软件框架之一。PX4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依托基于 PX4 的软件在环仿真与水池实验完成了 HippoCampus X 水下平台的三维机动控制验证，证实了基于 PX4/SITL 构建水下航行器闭环仿真与验证体系的工程合理性。</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ermEnd w:id="1319923814"/>
    <w:p w14:paraId="6385DA06" w14:textId="77777777" w:rsidR="00117889" w:rsidRPr="0008585D" w:rsidRDefault="00117889" w:rsidP="005F5E45">
      <w:pPr>
        <w:spacing w:beforeLines="50" w:before="120" w:afterLines="50" w:after="120" w:line="360" w:lineRule="auto"/>
        <w:ind w:firstLine="560"/>
        <w:rPr>
          <w:rFonts w:ascii="黑体" w:eastAsia="黑体" w:hint="eastAsia"/>
          <w:sz w:val="28"/>
        </w:rPr>
      </w:pPr>
      <w:r w:rsidRPr="0008585D">
        <w:rPr>
          <w:rFonts w:ascii="黑体" w:eastAsia="黑体" w:hint="eastAsia"/>
          <w:sz w:val="28"/>
        </w:rPr>
        <w:t>二、</w:t>
      </w:r>
      <w:permStart w:id="1570139158" w:edGrp="everyone"/>
      <w:r w:rsidR="00F71C2A">
        <w:rPr>
          <w:rFonts w:ascii="黑体" w:eastAsia="黑体" w:hint="eastAsia"/>
          <w:sz w:val="28"/>
        </w:rPr>
        <w:t>毕业论文</w:t>
      </w:r>
      <w:permEnd w:id="1570139158"/>
      <w:r w:rsidR="003C56B6" w:rsidRPr="0008585D">
        <w:rPr>
          <w:rFonts w:ascii="黑体" w:eastAsia="黑体" w:hint="eastAsia"/>
          <w:sz w:val="28"/>
        </w:rPr>
        <w:t>方案</w:t>
      </w:r>
      <w:r w:rsidR="00137786" w:rsidRPr="0008585D">
        <w:rPr>
          <w:rFonts w:ascii="黑体" w:eastAsia="黑体" w:hint="eastAsia"/>
          <w:sz w:val="28"/>
        </w:rPr>
        <w:t>介绍</w:t>
      </w:r>
    </w:p>
    <w:p>
      <w:pPr>
        <w:pStyle w:val="a6"/>
        <w:jc w:val="left"/>
        <w:spacing w:line="360" w:lineRule="auto" w:beforeLines="50" w:before="120" w:afterLines="50" w:after="120"/>
        <w:ind w:firstLine="0" w:firstLineChars="0" w:left="0"/>
      </w:pPr>
      <w:permStart w:id="1741359920" w:edGrp="everyone"/>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围绕实验室已有八推进器便携式水下航行器平台</w:t>
      </w:r>
      <w:r>
        <w:rPr>
          <w:rFonts w:ascii="Times New Roman" w:hAnsi="Times New Roman" w:cs="Times New Roman" w:eastAsia="宋体"/>
          <w:b w:val="0"/>
          <w:i w:val="0"/>
          <w:color w:val="000000"/>
          <w:sz w:val="24"/>
        </w:rPr>
        <w:t>，预期达成以下四项研究目标：一是构建并验证能够反映航行器主导动态特性的六自由度动力学模型，并确定单推进器静态推力映射关系；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rPr>
        <w:t>建立基于平台真实推进器空间布局的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w:r>
        <w:rPr>
          <w:rFonts w:ascii="Times New Roman" w:hAnsi="Times New Roman" w:cs="Times New Roman" w:eastAsia="宋体"/>
          <w:b w:val="0"/>
          <w:i w:val="0"/>
          <w:color w:val="000000"/>
          <w:sz w:val="24"/>
        </w:rPr>
        <w:t>及推力边界约束处理策略，抑制推力饱和引起的合成力矩失真；四是在 PX4/SITL 软件在环环境中完成上述模块的闭环集成，并获取典型运动与外部扰动工况下的量化验证结果。</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rPr>
        <w:t>根据平台八推进器空间安装位置与推力方向建立</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与附体坐标系</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，记航行器广义位置与姿态角矢量为</w:t>
      </w:r>
      <m:oMath>
        <m:r>
          <m:rPr>
            <m:sty m:val="bi"/>
          </m:rPr>
          <w:rPr>
            <w:rFonts w:ascii="Cambria Math" w:hAnsi="Cambria Math" w:eastAsia="宋体"/>
            <w:sz w:val="24"/>
            <w:szCs w:val="24"/>
          </w:rPr>
          <m:t>η</m:t>
        </m:r>
        <m:r>
          <m:rPr>
            <m:sty m:val="p"/>
          </m:rPr>
          <w:rPr>
            <w:rFonts w:ascii="Cambria Math" w:hAnsi="Cambria Math" w:eastAsia="宋体"/>
            <w:sz w:val="24"/>
            <w:szCs w:val="24"/>
          </w:rPr>
          <m:t>=[</m:t>
        </m:r>
        <m:r>
          <m:rPr>
            <m:sty m:val="i"/>
          </m:rPr>
          <w:rPr>
            <w:rFonts w:ascii="Cambria Math" w:hAnsi="Cambria Math" w:eastAsia="宋体"/>
            <w:sz w:val="24"/>
            <w:szCs w:val="24"/>
          </w:rPr>
          <m:t>x</m:t>
        </m:r>
        <m:r>
          <m:rPr>
            <m:sty m:val="p"/>
          </m:rPr>
          <w:rPr>
            <w:rFonts w:ascii="Cambria Math" w:hAnsi="Cambria Math" w:eastAsia="宋体"/>
            <w:sz w:val="24"/>
            <w:szCs w:val="24"/>
          </w:rPr>
          <m:t>,</m:t>
        </m:r>
        <m:r>
          <m:rPr>
            <m:sty m:val="i"/>
          </m:rPr>
          <w:rPr>
            <w:rFonts w:ascii="Cambria Math" w:hAnsi="Cambria Math" w:eastAsia="宋体"/>
            <w:sz w:val="24"/>
            <w:szCs w:val="24"/>
          </w:rPr>
          <m:t>y</m:t>
        </m:r>
        <m:r>
          <m:rPr>
            <m:sty m:val="p"/>
          </m:rPr>
          <w:rPr>
            <w:rFonts w:ascii="Cambria Math" w:hAnsi="Cambria Math" w:eastAsia="宋体"/>
            <w:sz w:val="24"/>
            <w:szCs w:val="24"/>
          </w:rPr>
          <m:t>,</m:t>
        </m:r>
        <m:r>
          <m:rPr>
            <m:sty m:val="i"/>
          </m:rPr>
          <w:rPr>
            <w:rFonts w:ascii="Cambria Math" w:hAnsi="Cambria Math" w:eastAsia="宋体"/>
            <w:sz w:val="24"/>
            <w:szCs w:val="24"/>
          </w:rPr>
          <m:t>z</m:t>
        </m:r>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，附体系线速度与角速度矢量为</w:t>
      </w:r>
      <m:oMath>
        <m:r>
          <m:rPr>
            <m:sty m:val="bi"/>
          </m:rPr>
          <w:rPr>
            <w:rFonts w:ascii="Cambria Math" w:hAnsi="Cambria Math" w:eastAsia="宋体"/>
            <w:sz w:val="24"/>
            <w:szCs w:val="24"/>
          </w:rPr>
          <m:t>ν</m:t>
        </m:r>
        <m:r>
          <m:rPr>
            <m:sty m:val="p"/>
          </m:rPr>
          <w:rPr>
            <w:rFonts w:ascii="Cambria Math" w:hAnsi="Cambria Math" w:eastAsia="宋体"/>
            <w:sz w:val="24"/>
            <w:szCs w:val="24"/>
          </w:rPr>
          <m:t>=[</m:t>
        </m:r>
        <m:r>
          <m:rPr>
            <m:sty m:val="i"/>
          </m:rPr>
          <w:rPr>
            <w:rFonts w:ascii="Cambria Math" w:hAnsi="Cambria Math" w:eastAsia="宋体"/>
            <w:sz w:val="24"/>
            <w:szCs w:val="24"/>
          </w:rPr>
          <m:t>u</m:t>
        </m:r>
        <m:r>
          <m:rPr>
            <m:sty m:val="p"/>
          </m:rPr>
          <w:rPr>
            <w:rFonts w:ascii="Cambria Math" w:hAnsi="Cambria Math" w:eastAsia="宋体"/>
            <w:sz w:val="24"/>
            <w:szCs w:val="24"/>
          </w:rPr>
          <m:t>,</m:t>
        </m:r>
        <m:r>
          <m:rPr>
            <m:sty m:val="i"/>
          </m:rPr>
          <w:rPr>
            <w:rFonts w:ascii="Cambria Math" w:hAnsi="Cambria Math" w:eastAsia="宋体"/>
            <w:sz w:val="24"/>
            <w:szCs w:val="24"/>
          </w:rPr>
          <m:t>v</m:t>
        </m:r>
        <m:r>
          <m:rPr>
            <m:sty m:val="p"/>
          </m:rPr>
          <w:rPr>
            <w:rFonts w:ascii="Cambria Math" w:hAnsi="Cambria Math" w:eastAsia="宋体"/>
            <w:sz w:val="24"/>
            <w:szCs w:val="24"/>
          </w:rPr>
          <m:t>,</m:t>
        </m:r>
        <m:r>
          <m:rPr>
            <m:sty m:val="i"/>
          </m:rPr>
          <w:rPr>
            <w:rFonts w:ascii="Cambria Math" w:hAnsi="Cambria Math" w:eastAsia="宋体"/>
            <w:sz w:val="24"/>
            <w:szCs w:val="24"/>
          </w:rPr>
          <m:t>w</m:t>
        </m:r>
        <m:r>
          <m:rPr>
            <m:sty m:val="p"/>
          </m:rPr>
          <w:rPr>
            <w:rFonts w:ascii="Cambria Math" w:hAnsi="Cambria Math" w:eastAsia="宋体"/>
            <w:sz w:val="24"/>
            <w:szCs w:val="24"/>
          </w:rPr>
          <m:t>,</m:t>
        </m:r>
        <m:r>
          <m:rPr>
            <m:sty m:val="i"/>
          </m:rPr>
          <w:rPr>
            <w:rFonts w:ascii="Cambria Math" w:hAnsi="Cambria Math" w:eastAsia="宋体"/>
            <w:sz w:val="24"/>
            <w:szCs w:val="24"/>
          </w:rPr>
          <m:t>p</m:t>
        </m:r>
        <m:r>
          <m:rPr>
            <m:sty m:val="p"/>
          </m:rPr>
          <w:rPr>
            <w:rFonts w:ascii="Cambria Math" w:hAnsi="Cambria Math" w:eastAsia="宋体"/>
            <w:sz w:val="24"/>
            <w:szCs w:val="24"/>
          </w:rPr>
          <m:t>,</m:t>
        </m:r>
        <m:r>
          <m:rPr>
            <m:sty m:val="i"/>
          </m:rPr>
          <w:rPr>
            <w:rFonts w:ascii="Cambria Math" w:hAnsi="Cambria Math" w:eastAsia="宋体"/>
            <w:sz w:val="24"/>
            <w:szCs w:val="24"/>
          </w:rPr>
          <m:t>q</m:t>
        </m:r>
        <m:r>
          <m:rPr>
            <m:sty m:val="p"/>
          </m:rPr>
          <w:rPr>
            <w:rFonts w:ascii="Cambria Math" w:hAnsi="Cambria Math" w:eastAsia="宋体"/>
            <w:sz w:val="24"/>
            <w:szCs w:val="24"/>
          </w:rPr>
          <m:t>,</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6"/>
        <w:jc w:val="left"/>
        <w:spacing w:line="360" w:lineRule="auto"/>
        <w:ind w:firstLine="0" w:firstLineChars="0" w:left="0"/>
        <w:tabs>
          <w:tab w:val="center" w:pos="4156"/>
          <w:tab w:val="right" w:pos="8313"/>
        </w:tabs>
      </w:pPr>
      <w:r>
        <w:tab/>
      </w:r>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m:t>
        </m:r>
        <m:r>
          <m:rPr>
            <m:sty m:val="bi"/>
          </m:rPr>
          <w:rPr>
            <w:rFonts w:ascii="Cambria Math" w:hAnsi="Cambria Math" w:eastAsia="宋体"/>
            <w:sz w:val="24"/>
            <w:szCs w:val="24"/>
          </w:rPr>
          <m:t>τ</m:t>
        </m:r>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tab/>
      </w:r>
      <w:r>
        <w:rPr>
          <w:rFonts w:ascii="Times New Roman" w:hAnsi="Times New Roman" w:cs="Times New Roman" w:eastAsia="宋体"/>
          <w:b w:val="0"/>
          <w:i w:val="0"/>
          <w:color w:val="000000"/>
          <w:sz w:val="24"/>
        </w:rPr>
        <w:t>(1)</w:t>
      </w:r>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rPr>
        <w:t>在参数获取与辨识上，首先由图1所示平台的三维装配模型直接提取整机质量、转动惯量张量及重浮心相对坐标，计算刚体惯性矩阵</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oMath>
      <w:r>
        <w:rPr>
          <w:rFonts w:ascii="Times New Roman" w:hAnsi="Times New Roman" w:cs="Times New Roman" w:eastAsia="宋体"/>
          <w:b w:val="0"/>
          <w:i w:val="0"/>
          <w:color w:val="000000"/>
          <w:sz w:val="24"/>
        </w:rPr>
        <w:t>、刚体科氏力矩阵</w:t>
      </w:r>
      <m:oMath>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与恢复力矩项</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；依据单推进器推力测试数据，通过多项式拟合建立控制输入到静态推力输出</w:t>
      </w:r>
      <m:oMath>
        <m:sSub>
          <m:e>
            <m:r>
              <m:rPr>
                <m:sty m:val="i"/>
              </m:rPr>
              <w:rPr>
                <w:rFonts w:ascii="Cambria Math" w:hAnsi="Cambria Math" w:eastAsia="宋体"/>
                <w:sz w:val="24"/>
                <w:szCs w:val="24"/>
              </w:rPr>
              <m:t>T</m:t>
            </m:r>
          </m:e>
          <m:sub>
            <m:r>
              <m:rPr>
                <m:sty m:val="i"/>
              </m:rPr>
              <w:rPr>
                <w:rFonts w:ascii="Cambria Math" w:hAnsi="Cambria Math" w:eastAsia="宋体"/>
                <w:sz w:val="24"/>
                <w:szCs w:val="24"/>
              </w:rPr>
              <m:t>i</m:t>
            </m:r>
          </m:sub>
        </m:sSub>
      </m:oMath>
      <w:r>
        <w:rPr>
          <w:rFonts w:ascii="Times New Roman" w:hAnsi="Times New Roman" w:cs="Times New Roman" w:eastAsia="宋体"/>
          <w:b w:val="0"/>
          <w:i w:val="0"/>
          <w:color w:val="000000"/>
          <w:sz w:val="24"/>
        </w:rPr>
        <w:t>的映射函数，并确定正向与反向推力上下界</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。其次，考虑便携式水下航行器低速作业特点与机体近似对称性，忽略次要的非对角交叉水动力耦合项，将附加质量矩阵</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r>
          <m:rPr>
            <m:sty m:val="p"/>
          </m:rPr>
          <w:rPr>
            <w:rFonts w:ascii="Cambria Math" w:hAnsi="Cambria Math" w:eastAsia="宋体"/>
            <w:sz w:val="24"/>
            <w:szCs w:val="24"/>
          </w:rPr>
          <m:t>=−diag(</m:t>
        </m:r>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Y</m:t>
            </m:r>
          </m:e>
          <m:sub>
            <m:acc>
              <m:accPr>
                <m:chr m:val="̇"/>
              </m:accPr>
              <m:e>
                <m:r>
                  <m:rPr>
                    <m:sty m:val="i"/>
                  </m:rPr>
                  <w:rPr>
                    <w:rFonts w:ascii="Cambria Math" w:hAnsi="Cambria Math" w:eastAsia="宋体"/>
                    <w:sz w:val="24"/>
                    <w:szCs w:val="24"/>
                  </w:rPr>
                  <m:t>v</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Z</m:t>
            </m:r>
          </m:e>
          <m:sub>
            <m:acc>
              <m:accPr>
                <m:chr m:val="̇"/>
              </m:accPr>
              <m:e>
                <m:r>
                  <m:rPr>
                    <m:sty m:val="i"/>
                  </m:rPr>
                  <w:rPr>
                    <w:rFonts w:ascii="Cambria Math" w:hAnsi="Cambria Math" w:eastAsia="宋体"/>
                    <w:sz w:val="24"/>
                    <w:szCs w:val="24"/>
                  </w:rPr>
                  <m:t>w</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K</m:t>
            </m:r>
          </m:e>
          <m:sub>
            <m:acc>
              <m:accPr>
                <m:chr m:val="̇"/>
              </m:accPr>
              <m:e>
                <m:r>
                  <m:rPr>
                    <m:sty m:val="i"/>
                  </m:rPr>
                  <w:rPr>
                    <w:rFonts w:ascii="Cambria Math" w:hAnsi="Cambria Math" w:eastAsia="宋体"/>
                    <w:sz w:val="24"/>
                    <w:szCs w:val="24"/>
                  </w:rPr>
                  <m:t>p</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acc>
              <m:accPr>
                <m:chr m:val="̇"/>
              </m:accPr>
              <m:e>
                <m:r>
                  <m:rPr>
                    <m:sty m:val="i"/>
                  </m:rPr>
                  <w:rPr>
                    <w:rFonts w:ascii="Cambria Math" w:hAnsi="Cambria Math" w:eastAsia="宋体"/>
                    <w:sz w:val="24"/>
                    <w:szCs w:val="24"/>
                  </w:rPr>
                  <m:t>q</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（其中</w:t>
      </w:r>
      <m:oMath>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oMath>
      <w:r>
        <w:rPr>
          <w:rFonts w:ascii="Times New Roman" w:hAnsi="Times New Roman" w:cs="Times New Roman" w:eastAsia="宋体"/>
          <w:b w:val="0"/>
          <w:i w:val="0"/>
          <w:color w:val="000000"/>
          <w:sz w:val="24"/>
        </w:rPr>
        <w:t>为各自由度附加质量水动力导数）以及线性、二次阻尼矩阵</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oMath>
      <w:r>
        <w:rPr>
          <w:rFonts w:ascii="Times New Roman" w:hAnsi="Times New Roman" w:cs="Times New Roman" w:eastAsia="宋体"/>
          <w:b w:val="0"/>
          <w:i w:val="0"/>
          <w:color w:val="000000"/>
          <w:sz w:val="24"/>
        </w:rPr>
        <w:t>、</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简化为对角阵。在各自由度阶跃推力或自由衰减特征激励下，将式(1)整理为关于未知对角水动力系数的参数化辨识方程，利用输入推力与速度/姿态响应序列，通过最小二乘法或非线性最小二乘曲线拟合求解未知参数，并将辨识参数代回式(1)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设参考位置与姿态指令为</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、参考速度为</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，定义位置/姿态误差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与速度误差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。控制器输出的六维期望广义控制力与力矩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由闭环状态反馈项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与动力学模型补偿项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叠加构成（即</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）。其中，闭环状态误差反馈项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针对水平位置/速度、潜深</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、横滚与俯仰姿态角</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及航向角</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等控制通道，采用基于位置/姿态误差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与速度/角速度误差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的串级或比例-积分-微分（PID）反馈结构，保障基础闭环稳定性并消除稳态误差；动力学模型特性补偿项</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结合模块一辨识得到的航行器动力学模型，在控制律中引入恢复力矩项</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与主导水动力阻尼项</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的前馈补偿，或结合惯性矩阵</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与状态导数信息构造反馈线性化、增量动态逆（INDI）等动态逆补偿律，用于主动抵消已知非线性水动力负载与多轴耦合影响。当取</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时，控制器即为传统无模型 PID 控制；研究过程中结合辨识模型特性确定具体的模型补偿控制律，并统一以无模型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rPr>
        <w:t>结合图1(b)所示的推进器空间排布，将水平面四角呈</w:t>
      </w:r>
      <m:oMath>
        <m:r>
          <m:rPr>
            <m:sty m:val="p"/>
          </m:rPr>
          <w:rPr>
            <w:rFonts w:ascii="Cambria Math" w:hAnsi="Cambria Math" w:eastAsia="宋体"/>
            <w:sz w:val="24"/>
            <w:szCs w:val="24"/>
          </w:rPr>
          <m:t>±45°</m:t>
        </m:r>
      </m:oMath>
      <w:r>
        <w:rPr>
          <w:rFonts w:ascii="Times New Roman" w:hAnsi="Times New Roman" w:cs="Times New Roman" w:eastAsia="宋体"/>
          <w:b w:val="0"/>
          <w:i w:val="0"/>
          <w:color w:val="000000"/>
          <w:sz w:val="24"/>
        </w:rPr>
        <w:t>矢量倾斜对称安装的4台推进器记为</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（主控纵荡、横荡与偏航），将垂直面两侧垂向对称安装的4台推进器记为</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（主控垂荡、横滚与俯仰）。</w:t>
      </w:r>
      <w:r>
        <w:rPr>
          <w:rFonts w:ascii="Times New Roman" w:hAnsi="Times New Roman" w:cs="Times New Roman" w:eastAsia="宋体"/>
          <w:b w:val="0"/>
          <w:i w:val="0"/>
          <w:color w:val="000000"/>
          <w:sz w:val="24"/>
        </w:rPr>
        <w:t>设第</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台推进器（</w:t>
      </w:r>
      <m:oMath>
        <m:r>
          <m:rPr>
            <m:sty m:val="i"/>
          </m:rPr>
          <w:rPr>
            <w:rFonts w:ascii="Cambria Math" w:hAnsi="Cambria Math" w:eastAsia="宋体"/>
            <w:sz w:val="24"/>
            <w:szCs w:val="24"/>
          </w:rPr>
          <m:t>i</m:t>
        </m:r>
        <m:r>
          <m:rPr>
            <m:sty m:val="p"/>
          </m:rPr>
          <w:rPr>
            <w:rFonts w:ascii="Cambria Math" w:hAnsi="Cambria Math" w:eastAsia="宋体"/>
            <w:sz w:val="24"/>
            <w:szCs w:val="24"/>
          </w:rPr>
          <m:t>=1,…,8</m:t>
        </m:r>
      </m:oMath>
      <w:r>
        <w:rPr>
          <w:rFonts w:ascii="Times New Roman" w:hAnsi="Times New Roman" w:cs="Times New Roman" w:eastAsia="宋体"/>
          <w:b w:val="0"/>
          <w:i w:val="0"/>
          <w:color w:val="000000"/>
          <w:sz w:val="24"/>
        </w:rPr>
        <w:t>）在附体系下的安装位置矢量为</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、单位推力方向矢量为</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，构造</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m:oMath>
        <m:r>
          <m:rPr>
            <m:sty m:val="bi"/>
          </m:rPr>
          <w:rPr>
            <w:rFonts w:ascii="Cambria Math" w:hAnsi="Cambria Math" w:eastAsia="宋体"/>
            <w:sz w:val="24"/>
            <w:szCs w:val="24"/>
          </w:rPr>
          <m:t>B</m:t>
        </m:r>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，并在推力边界约束下求解推进器推力指令矢量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6"/>
        <w:jc w:val="left"/>
        <w:spacing w:line="360" w:lineRule="auto"/>
        <w:ind w:firstLine="0" w:firstLineChars="0" w:left="0"/>
        <w:tabs>
          <w:tab w:val="center" w:pos="4156"/>
          <w:tab w:val="right" w:pos="8313"/>
        </w:tabs>
      </w:pPr>
      <w:r>
        <w:tab/>
      </w:r>
      <m:oMath>
        <m:r>
          <m:rPr>
            <m:sty m:val="bi"/>
          </m:rPr>
          <w:rPr>
            <w:rFonts w:ascii="Cambria Math" w:hAnsi="Cambria Math" w:eastAsia="宋体"/>
            <w:sz w:val="24"/>
            <w:szCs w:val="24"/>
          </w:rPr>
          <m:t>τ</m:t>
        </m:r>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oMath>
      <w:r>
        <w:tab/>
      </w:r>
      <w:r>
        <w:rPr>
          <w:rFonts w:ascii="Times New Roman" w:hAnsi="Times New Roman" w:cs="Times New Roman" w:eastAsia="宋体"/>
          <w:b w:val="0"/>
          <w:i w:val="0"/>
          <w:color w:val="000000"/>
          <w:sz w:val="24"/>
        </w:rPr>
        <w:t>(2)</w:t>
      </w:r>
    </w:p>
    <w:p>
      <w:pPr>
        <w:pStyle w:val="a7"/>
        <w:jc w:val="both"/>
        <w:spacing w:line="360" w:lineRule="auto"/>
        <w:ind w:firstLineChars="200" w:firstLine="480"/>
      </w:pPr>
      <w:r>
        <w:rPr>
          <w:rFonts w:ascii="Times New Roman" w:hAnsi="Times New Roman" w:cs="Times New Roman" w:eastAsia="宋体"/>
          <w:b w:val="0"/>
          <w:i w:val="0"/>
          <w:color w:val="000000"/>
          <w:sz w:val="24"/>
        </w:rPr>
        <w:t>具体求解时，先由 Moore-Penrose 伪逆或加权伪逆</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计算最小二乘范数基准解</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。当期望广义力/力矩较大导致</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中存在超出</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）引起的合成力矩方向偏转；通过与无约束伪逆直接硬截断方案对比，分析控制分配残差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oMath>
      <w:r>
        <w:rPr>
          <w:rFonts w:ascii="Times New Roman" w:hAnsi="Times New Roman" w:cs="Times New Roman" w:eastAsia="宋体"/>
          <w:b w:val="0"/>
          <w:i w:val="0"/>
          <w:color w:val="000000"/>
          <w:sz w:val="24"/>
        </w:rPr>
        <w:t>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rPr>
        <w:t>依托 PX4 模块化软件架构与 uORB 异步发布-订阅消息总线，在 SITL 环境中集成水下航行器六自由度动力学仿真模块（订阅推进器指令并按式(1)实时数值积分发布位姿与速度 uORB 消息）、运动控制模块（订阅参考指令与状态反馈消息，计算并发布期望广义力/力矩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）以及八推进器控制分配模块（订阅</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，按式(2)解算并发布8通道推进器推力指令）。设置空间定点悬停、姿态阶跃稳定、定深跟踪、定航转向以及叠加外部水流扰动</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等仿真工况，通过 ULog 日志记录全状态响应数据，对比评估不同控制与分配方案的位置/姿态跟踪误差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、超调量、调节时间及控制分配残差</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本课题围绕上述四个核心模块展开研究，总体技术路线如图2所示。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rPr>
        <w:t>图2 课题总体研究技术路线图</w:t>
      </w:r>
    </w:p>
    <w:p>
      <w:pPr>
        <w:pStyle w:val="a6"/>
        <w:jc w:val="left"/>
        <w:spacing w:line="360" w:lineRule="auto"/>
        <w:ind w:firstLine="0" w:firstLineChars="0" w:left="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 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 开源软件框架提供了完善的 SITL 软件在环仿真环境、标准化的 uORB 模块间通信机制以及 ULog 数据记录工具。前期已完成 PX4 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表1</w:t>
      </w:r>
      <w:r>
        <w:rPr>
          <w:rFonts w:ascii="Times New Roman" w:hAnsi="Times New Roman" w:cs="Times New Roman" w:eastAsia="宋体"/>
          <w:b w:val="0"/>
          <w:i w:val="0"/>
          <w:color w:val="000000"/>
          <w:sz w:val="24"/>
        </w:rPr>
        <w:t>所示：</w:t>
      </w:r>
    </w:p>
    <w:p>
      <w:pPr>
        <w:jc w:val="center"/>
        <w:spacing w:line="240" w:lineRule="auto" w:beforeLines="50" w:before="120"/>
        <w:ind w:firstLine="0" w:firstLineChars="0" w:left="0"/>
      </w:pPr>
      <w:r>
        <w:rPr>
          <w:rFonts w:ascii="Times New Roman" w:hAnsi="Times New Roman" w:cs="Times New Roman" w:eastAsia="宋体"/>
          <w:b w:val="0"/>
          <w:i w:val="0"/>
          <w:color w:val="000000"/>
          <w:sz w:val="21"/>
        </w:rPr>
        <w:t>表1</w:t>
      </w:r>
      <w:r>
        <w:rPr>
          <w:rFonts w:ascii="Times New Roman" w:hAnsi="Times New Roman" w:cs="Times New Roman" w:eastAsia="宋体"/>
          <w:b w:val="0"/>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ermEnd w:id="1741359920"/>
    <w:p w14:paraId="41E5FE5D" w14:textId="77777777" w:rsidR="00117889" w:rsidRPr="0008585D" w:rsidRDefault="00117889" w:rsidP="005F5E45">
      <w:pPr>
        <w:spacing w:beforeLines="50" w:before="120" w:afterLines="50" w:after="120" w:line="360" w:lineRule="auto"/>
        <w:ind w:firstLine="560"/>
        <w:rPr>
          <w:rFonts w:ascii="黑体" w:eastAsia="黑体" w:hint="eastAsia"/>
          <w:sz w:val="28"/>
        </w:rPr>
      </w:pPr>
      <w:r w:rsidRPr="0008585D">
        <w:rPr>
          <w:rFonts w:ascii="黑体" w:eastAsia="黑体" w:hint="eastAsia"/>
          <w:sz w:val="28"/>
        </w:rPr>
        <w:t>三、</w:t>
      </w:r>
      <w:permStart w:id="663169277" w:edGrp="everyone"/>
      <w:r w:rsidR="00F71C2A">
        <w:rPr>
          <w:rFonts w:ascii="黑体" w:eastAsia="黑体" w:hint="eastAsia"/>
          <w:sz w:val="28"/>
        </w:rPr>
        <w:t>毕业论文</w:t>
      </w:r>
      <w:permEnd w:id="663169277"/>
      <w:r w:rsidRPr="0008585D">
        <w:rPr>
          <w:rFonts w:ascii="黑体" w:eastAsia="黑体" w:hint="eastAsia"/>
          <w:sz w:val="28"/>
        </w:rPr>
        <w:t>的</w:t>
      </w:r>
      <w:r w:rsidR="003C56B6" w:rsidRPr="0008585D">
        <w:rPr>
          <w:rFonts w:ascii="黑体" w:eastAsia="黑体" w:hint="eastAsia"/>
          <w:sz w:val="28"/>
        </w:rPr>
        <w:t>主要参考文献</w:t>
      </w:r>
    </w:p>
    <w:p>
      <w:pPr>
        <w:pStyle w:val="a9"/>
        <w:jc w:val="both"/>
        <w:spacing w:line="360" w:lineRule="auto"/>
        <w:ind w:left="420" w:hanging="420"/>
      </w:pPr>
      <w:permStart w:id="61024898" w:edGrp="everyone"/>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6"/>
    </w:p>
    <w:permEnd w:id="61024898"/>
    <w:p w14:paraId="2CA8248D" w14:textId="77777777" w:rsidR="00117889" w:rsidRPr="0008585D" w:rsidRDefault="00117889" w:rsidP="0008585D">
      <w:pPr>
        <w:spacing w:beforeLines="50" w:before="120" w:afterLines="50" w:after="120" w:line="360" w:lineRule="exact"/>
        <w:ind w:firstLine="560"/>
        <w:rPr>
          <w:rFonts w:ascii="黑体" w:eastAsia="黑体" w:hint="eastAsia"/>
          <w:sz w:val="28"/>
        </w:rPr>
      </w:pPr>
      <w:r w:rsidRPr="0008585D">
        <w:rPr>
          <w:rFonts w:ascii="黑体" w:eastAsia="黑体" w:hint="eastAsia"/>
          <w:sz w:val="28"/>
        </w:rPr>
        <w:t>四、</w:t>
      </w:r>
      <w:r w:rsidR="003C56B6" w:rsidRPr="0008585D">
        <w:rPr>
          <w:rFonts w:ascii="黑体" w:eastAsia="黑体" w:hint="eastAsia"/>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